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72B4D"/>
          <w:sz w:val="48"/>
        </w:rPr>
        <w:t>Product Security Communication Patterns</w:t>
        <w:br/>
        <w:t>and STAR Story Templates</w:t>
      </w:r>
    </w:p>
    <w:p>
      <w:pPr>
        <w:jc w:val="center"/>
      </w:pPr>
      <w:r>
        <w:rPr>
          <w:i/>
          <w:color w:val="505050"/>
          <w:sz w:val="24"/>
        </w:rPr>
        <w:t>American-English phrase bank, meeting language, and interview/story scaffolds</w:t>
        <w:br/>
        <w:t>for AppSec, DevSecOps, Managers, and Directors</w:t>
      </w:r>
    </w:p>
    <w:tbl>
      <w:tblPr>
        <w:tblW w:type="auto" w:w="0"/>
        <w:jc w:val="center"/>
        <w:tblLook w:firstColumn="1" w:firstRow="1" w:lastColumn="0" w:lastRow="0" w:noHBand="0" w:noVBand="1" w:val="04A0"/>
      </w:tblPr>
      <w:tblGrid>
        <w:gridCol w:w="9972"/>
      </w:tblGrid>
      <w:tr>
        <w:tc>
          <w:tcPr>
            <w:tcW w:type="dxa" w:w="9972"/>
            <w:shd w:fill="EAF1FB"/>
          </w:tcPr>
          <w:p>
            <w:pPr>
              <w:jc w:val="center"/>
            </w:pPr>
            <w:r>
              <w:rPr>
                <w:b/>
                <w:color w:val="314E80"/>
                <w:sz w:val="21"/>
              </w:rPr>
              <w:t>Working Draft / Template Pack</w:t>
            </w:r>
          </w:p>
        </w:tc>
      </w:tr>
    </w:tbl>
    <w:tbl>
      <w:tblPr>
        <w:tblStyle w:val="TableGrid"/>
        <w:tblW w:type="auto" w:w="0"/>
        <w:jc w:val="center"/>
        <w:tblLook w:firstColumn="1" w:firstRow="1" w:lastColumn="0" w:lastRow="0" w:noHBand="0" w:noVBand="1" w:val="04A0"/>
      </w:tblPr>
      <w:tblGrid>
        <w:gridCol w:w="4986"/>
        <w:gridCol w:w="4986"/>
      </w:tblGrid>
      <w:tr>
        <w:trPr>
          <w:trHeight w:hRule="atLeast" w:val="397"/>
        </w:trPr>
        <w:tc>
          <w:tcPr>
            <w:tcW w:type="dxa" w:w="4986"/>
            <w:vAlign w:val="center"/>
          </w:tcPr>
          <w:p>
            <w:r>
              <w:rPr>
                <w:b/>
              </w:rPr>
              <w:t>Prepared by</w:t>
            </w:r>
          </w:p>
        </w:tc>
        <w:tc>
          <w:tcPr>
            <w:tcW w:type="dxa" w:w="4986"/>
            <w:vAlign w:val="center"/>
          </w:tcPr>
          <w:p>
            <w:r>
              <w:t>Ivan Piskunov</w:t>
            </w:r>
          </w:p>
        </w:tc>
      </w:tr>
      <w:tr>
        <w:trPr>
          <w:trHeight w:hRule="atLeast" w:val="397"/>
        </w:trPr>
        <w:tc>
          <w:tcPr>
            <w:tcW w:type="dxa" w:w="4986"/>
            <w:vAlign w:val="center"/>
          </w:tcPr>
          <w:p>
            <w:r>
              <w:rPr>
                <w:b/>
              </w:rPr>
              <w:t>Document owner</w:t>
            </w:r>
          </w:p>
        </w:tc>
        <w:tc>
          <w:tcPr>
            <w:tcW w:type="dxa" w:w="4986"/>
            <w:vAlign w:val="center"/>
          </w:tcPr>
          <w:p>
            <w:r>
              <w:t>Ivan Piskunov</w:t>
            </w:r>
          </w:p>
        </w:tc>
      </w:tr>
      <w:tr>
        <w:trPr>
          <w:trHeight w:hRule="atLeast" w:val="397"/>
        </w:trPr>
        <w:tc>
          <w:tcPr>
            <w:tcW w:type="dxa" w:w="4986"/>
            <w:vAlign w:val="center"/>
          </w:tcPr>
          <w:p>
            <w:r>
              <w:rPr>
                <w:b/>
              </w:rPr>
              <w:t>Version</w:t>
            </w:r>
          </w:p>
        </w:tc>
        <w:tc>
          <w:tcPr>
            <w:tcW w:type="dxa" w:w="4986"/>
            <w:vAlign w:val="center"/>
          </w:tcPr>
          <w:p>
            <w:r>
              <w:t>v6.7 draft</w:t>
            </w:r>
          </w:p>
        </w:tc>
      </w:tr>
      <w:tr>
        <w:trPr>
          <w:trHeight w:hRule="atLeast" w:val="397"/>
        </w:trPr>
        <w:tc>
          <w:tcPr>
            <w:tcW w:type="dxa" w:w="4986"/>
            <w:vAlign w:val="center"/>
          </w:tcPr>
          <w:p>
            <w:r>
              <w:rPr>
                <w:b/>
              </w:rPr>
              <w:t>Date</w:t>
            </w:r>
          </w:p>
        </w:tc>
        <w:tc>
          <w:tcPr>
            <w:tcW w:type="dxa" w:w="4986"/>
            <w:vAlign w:val="center"/>
          </w:tcPr>
          <w:p>
            <w:r>
              <w:t>2026</w:t>
            </w:r>
          </w:p>
        </w:tc>
      </w:tr>
      <w:tr>
        <w:trPr>
          <w:trHeight w:hRule="atLeast" w:val="397"/>
        </w:trPr>
        <w:tc>
          <w:tcPr>
            <w:tcW w:type="dxa" w:w="4986"/>
            <w:vAlign w:val="center"/>
          </w:tcPr>
          <w:p>
            <w:r>
              <w:rPr>
                <w:b/>
              </w:rPr>
              <w:t>Intended use</w:t>
            </w:r>
          </w:p>
        </w:tc>
        <w:tc>
          <w:tcPr>
            <w:tcW w:type="dxa" w:w="4986"/>
            <w:vAlign w:val="center"/>
          </w:tcPr>
          <w:p>
            <w:r>
              <w:t>Interview prep, onboarding, communication training</w:t>
            </w:r>
          </w:p>
        </w:tc>
      </w:tr>
      <w:tr>
        <w:trPr>
          <w:trHeight w:hRule="atLeast" w:val="397"/>
        </w:trPr>
        <w:tc>
          <w:tcPr>
            <w:tcW w:type="dxa" w:w="4986"/>
            <w:vAlign w:val="center"/>
          </w:tcPr>
          <w:p>
            <w:r>
              <w:rPr>
                <w:b/>
              </w:rPr>
              <w:t>Disclaimer</w:t>
            </w:r>
          </w:p>
        </w:tc>
        <w:tc>
          <w:tcPr>
            <w:tcW w:type="dxa" w:w="4986"/>
            <w:vAlign w:val="center"/>
          </w:tcPr>
          <w:p>
            <w:r>
              <w:t>These are sketches and reusable templates. They should be adapted to the role, company, audience, and individual speaking style.</w:t>
            </w:r>
          </w:p>
        </w:tc>
      </w:tr>
    </w:tbl>
    <w:p>
      <w:r>
        <w:rPr>
          <w:i/>
        </w:rPr>
        <w:br/>
        <w:t>This companion document is intentionally written in plain, direct American English. The goal is not to sound theatrical. The goal is to help technically strong people sound calm, precise, and easy to trust in real meetings.</w:t>
      </w:r>
    </w:p>
    <w:p>
      <w:r>
        <w:br w:type="page"/>
      </w:r>
    </w:p>
    <w:p>
      <w:pPr>
        <w:pStyle w:val="Heading1"/>
      </w:pPr>
      <w:r>
        <w:t>1. How to sound stronger immediately</w:t>
      </w:r>
    </w:p>
    <w:p>
      <w:pPr>
        <w:pStyle w:val="ListBullet"/>
      </w:pPr>
      <w:r>
        <w:t>Lead with the point first, then the technical explanation.</w:t>
      </w:r>
    </w:p>
    <w:p>
      <w:pPr>
        <w:pStyle w:val="ListBullet"/>
      </w:pPr>
      <w:r>
        <w:t>Separate facts, hypotheses, recommendations, and decisions.</w:t>
      </w:r>
    </w:p>
    <w:p>
      <w:pPr>
        <w:pStyle w:val="ListBullet"/>
      </w:pPr>
      <w:r>
        <w:t>Use scope language precisely: blast radius, trust boundary, owner, residual risk, release condition.</w:t>
      </w:r>
    </w:p>
    <w:p>
      <w:pPr>
        <w:pStyle w:val="ListBullet"/>
      </w:pPr>
      <w:r>
        <w:t>Avoid filler language such as “kind of,” “maybe bad,” or “some stuff is broken.”</w:t>
      </w:r>
    </w:p>
    <w:p>
      <w:pPr>
        <w:pStyle w:val="ListBullet"/>
      </w:pPr>
      <w:r>
        <w:t>When uncertain, state your confidence level and the next data point you need.</w:t>
      </w:r>
    </w:p>
    <w:p>
      <w:pPr>
        <w:pStyle w:val="Heading1"/>
      </w:pPr>
      <w:r>
        <w:t>2. Meeting openings and transitions</w:t>
      </w:r>
    </w:p>
    <w:tbl>
      <w:tblPr>
        <w:tblStyle w:val="TableGrid"/>
        <w:tblW w:type="auto" w:w="0"/>
        <w:jc w:val="center"/>
        <w:tblLook w:firstColumn="1" w:firstRow="1" w:lastColumn="0" w:lastRow="0" w:noHBand="0" w:noVBand="1" w:val="04A0"/>
      </w:tblPr>
      <w:tblGrid>
        <w:gridCol w:w="4986"/>
        <w:gridCol w:w="4986"/>
      </w:tblGrid>
      <w:tr>
        <w:tc>
          <w:tcPr>
            <w:tcW w:type="dxa" w:w="2268"/>
            <w:vAlign w:val="center"/>
            <w:shd w:fill="DCE6F2"/>
          </w:tcPr>
          <w:p>
            <w:r>
              <w:rPr>
                <w:b/>
              </w:rPr>
              <w:t>Situation</w:t>
            </w:r>
          </w:p>
        </w:tc>
        <w:tc>
          <w:tcPr>
            <w:tcW w:type="dxa" w:w="7257"/>
            <w:vAlign w:val="center"/>
            <w:shd w:fill="DCE6F2"/>
          </w:tcPr>
          <w:p>
            <w:r>
              <w:rPr>
                <w:b/>
              </w:rPr>
              <w:t>Phrase</w:t>
            </w:r>
          </w:p>
        </w:tc>
      </w:tr>
      <w:tr>
        <w:tc>
          <w:tcPr>
            <w:tcW w:type="dxa" w:w="2268"/>
            <w:vAlign w:val="center"/>
          </w:tcPr>
          <w:p>
            <w:r>
              <w:t>Neutral opening</w:t>
            </w:r>
          </w:p>
        </w:tc>
        <w:tc>
          <w:tcPr>
            <w:tcW w:type="dxa" w:w="7257"/>
            <w:vAlign w:val="center"/>
          </w:tcPr>
          <w:p>
            <w:r>
              <w:t>“Thanks for the time. I will start with the main risk or decision point, then I can go deeper if useful.”</w:t>
            </w:r>
          </w:p>
        </w:tc>
      </w:tr>
      <w:tr>
        <w:tc>
          <w:tcPr>
            <w:tcW w:type="dxa" w:w="2268"/>
            <w:vAlign w:val="center"/>
          </w:tcPr>
          <w:p>
            <w:r>
              <w:t>Short technical opening</w:t>
            </w:r>
          </w:p>
        </w:tc>
        <w:tc>
          <w:tcPr>
            <w:tcW w:type="dxa" w:w="7257"/>
            <w:vAlign w:val="center"/>
          </w:tcPr>
          <w:p>
            <w:r>
              <w:t>“The key issue is authorization placement in the current flow. I can walk through the exact failure path.”</w:t>
            </w:r>
          </w:p>
        </w:tc>
      </w:tr>
      <w:tr>
        <w:tc>
          <w:tcPr>
            <w:tcW w:type="dxa" w:w="2268"/>
            <w:vAlign w:val="center"/>
          </w:tcPr>
          <w:p>
            <w:r>
              <w:t>Manager / director opening</w:t>
            </w:r>
          </w:p>
        </w:tc>
        <w:tc>
          <w:tcPr>
            <w:tcW w:type="dxa" w:w="7257"/>
            <w:vAlign w:val="center"/>
          </w:tcPr>
          <w:p>
            <w:r>
              <w:t>“The goal for this meeting is to leave with a clear decision, owner, and next step.”</w:t>
            </w:r>
          </w:p>
        </w:tc>
      </w:tr>
      <w:tr>
        <w:tc>
          <w:tcPr>
            <w:tcW w:type="dxa" w:w="2268"/>
            <w:vAlign w:val="center"/>
          </w:tcPr>
          <w:p>
            <w:r>
              <w:t>Transition to detail</w:t>
            </w:r>
          </w:p>
        </w:tc>
        <w:tc>
          <w:tcPr>
            <w:tcW w:type="dxa" w:w="7257"/>
            <w:vAlign w:val="center"/>
          </w:tcPr>
          <w:p>
            <w:r>
              <w:t>“That is the short version. I can now explain the mechanism and the proposed control path.”</w:t>
            </w:r>
          </w:p>
        </w:tc>
      </w:tr>
      <w:tr>
        <w:tc>
          <w:tcPr>
            <w:tcW w:type="dxa" w:w="2268"/>
            <w:vAlign w:val="center"/>
          </w:tcPr>
          <w:p>
            <w:r>
              <w:t>Return to the main point</w:t>
            </w:r>
          </w:p>
        </w:tc>
        <w:tc>
          <w:tcPr>
            <w:tcW w:type="dxa" w:w="7257"/>
            <w:vAlign w:val="center"/>
          </w:tcPr>
          <w:p>
            <w:r>
              <w:t>“Before we go deeper, I want to anchor us back on the release impact and ownership question.”</w:t>
            </w:r>
          </w:p>
        </w:tc>
      </w:tr>
    </w:tbl>
    <w:p>
      <w:pPr>
        <w:pStyle w:val="Heading1"/>
      </w:pPr>
      <w:r>
        <w:t>3. Standups, weekly updates, and sprint reviews</w:t>
      </w:r>
    </w:p>
    <w:p>
      <w:pPr>
        <w:pStyle w:val="Heading2"/>
      </w:pPr>
      <w:r>
        <w:t>Recommended order</w:t>
      </w:r>
    </w:p>
    <w:p>
      <w:pPr>
        <w:pStyle w:val="ListBullet"/>
      </w:pPr>
      <w:r>
        <w:t>What I worked on</w:t>
      </w:r>
    </w:p>
    <w:p>
      <w:pPr>
        <w:pStyle w:val="ListBullet"/>
      </w:pPr>
      <w:r>
        <w:t>What changed</w:t>
      </w:r>
    </w:p>
    <w:p>
      <w:pPr>
        <w:pStyle w:val="ListBullet"/>
      </w:pPr>
      <w:r>
        <w:t>What is blocked</w:t>
      </w:r>
    </w:p>
    <w:p>
      <w:pPr>
        <w:pStyle w:val="ListBullet"/>
      </w:pPr>
      <w:r>
        <w:t>What I need from others</w:t>
      </w:r>
    </w:p>
    <w:p>
      <w:pPr>
        <w:pStyle w:val="Heading2"/>
      </w:pPr>
      <w:r>
        <w:t>Example phrases</w:t>
      </w:r>
    </w:p>
    <w:tbl>
      <w:tblPr>
        <w:tblStyle w:val="TableGrid"/>
        <w:tblW w:type="auto" w:w="0"/>
        <w:jc w:val="center"/>
        <w:tblLook w:firstColumn="1" w:firstRow="1" w:lastColumn="0" w:lastRow="0" w:noHBand="0" w:noVBand="1" w:val="04A0"/>
      </w:tblPr>
      <w:tblGrid>
        <w:gridCol w:w="4986"/>
        <w:gridCol w:w="4986"/>
      </w:tblGrid>
      <w:tr>
        <w:tc>
          <w:tcPr>
            <w:tcW w:type="dxa" w:w="2381"/>
            <w:vAlign w:val="center"/>
            <w:shd w:fill="DCE6F2"/>
          </w:tcPr>
          <w:p>
            <w:r>
              <w:rPr>
                <w:b/>
              </w:rPr>
              <w:t>Context</w:t>
            </w:r>
          </w:p>
        </w:tc>
        <w:tc>
          <w:tcPr>
            <w:tcW w:type="dxa" w:w="7143"/>
            <w:vAlign w:val="center"/>
            <w:shd w:fill="DCE6F2"/>
          </w:tcPr>
          <w:p>
            <w:r>
              <w:rPr>
                <w:b/>
              </w:rPr>
              <w:t>Example wording</w:t>
            </w:r>
          </w:p>
        </w:tc>
      </w:tr>
      <w:tr>
        <w:tc>
          <w:tcPr>
            <w:tcW w:type="dxa" w:w="2381"/>
            <w:vAlign w:val="center"/>
          </w:tcPr>
          <w:p>
            <w:r>
              <w:t>Engineer weekly update</w:t>
            </w:r>
          </w:p>
        </w:tc>
        <w:tc>
          <w:tcPr>
            <w:tcW w:type="dxa" w:w="7143"/>
            <w:vAlign w:val="center"/>
          </w:tcPr>
          <w:p>
            <w:r>
              <w:t>“Last week I reviewed the new upload flow and the GraphQL admin mutations. The upload path is in better shape now, but resolver-level authorization still needs work. My blocker is a missing decision on tenant scope from the service owner.”</w:t>
            </w:r>
          </w:p>
        </w:tc>
      </w:tr>
      <w:tr>
        <w:tc>
          <w:tcPr>
            <w:tcW w:type="dxa" w:w="2381"/>
            <w:vAlign w:val="center"/>
          </w:tcPr>
          <w:p>
            <w:r>
              <w:t>DevSecOps weekly update</w:t>
            </w:r>
          </w:p>
        </w:tc>
        <w:tc>
          <w:tcPr>
            <w:tcW w:type="dxa" w:w="7143"/>
            <w:vAlign w:val="center"/>
          </w:tcPr>
          <w:p>
            <w:r>
              <w:t>“The runner isolation changes are in staging. Production rollout is waiting on one repository-specific exception and confirmation on the protected environment path.”</w:t>
            </w:r>
          </w:p>
        </w:tc>
      </w:tr>
      <w:tr>
        <w:tc>
          <w:tcPr>
            <w:tcW w:type="dxa" w:w="2381"/>
            <w:vAlign w:val="center"/>
          </w:tcPr>
          <w:p>
            <w:r>
              <w:t>Sprint review</w:t>
            </w:r>
          </w:p>
        </w:tc>
        <w:tc>
          <w:tcPr>
            <w:tcW w:type="dxa" w:w="7143"/>
            <w:vAlign w:val="center"/>
          </w:tcPr>
          <w:p>
            <w:r>
              <w:t>“What landed this sprint was stronger release evidence and better runner isolation. What did not land was the final OIDC migration for two legacy jobs, and the reason was environment-specific compatibility.”</w:t>
            </w:r>
          </w:p>
        </w:tc>
      </w:tr>
    </w:tbl>
    <w:p>
      <w:pPr>
        <w:pStyle w:val="Heading1"/>
      </w:pPr>
      <w:r>
        <w:t>4. Disagreement patterns that still sound collaborative</w:t>
      </w:r>
    </w:p>
    <w:tbl>
      <w:tblPr>
        <w:tblStyle w:val="TableGrid"/>
        <w:tblW w:type="auto" w:w="0"/>
        <w:jc w:val="center"/>
        <w:tblLook w:firstColumn="1" w:firstRow="1" w:lastColumn="0" w:lastRow="0" w:noHBand="0" w:noVBand="1" w:val="04A0"/>
      </w:tblPr>
      <w:tblGrid>
        <w:gridCol w:w="4986"/>
        <w:gridCol w:w="4986"/>
      </w:tblGrid>
      <w:tr>
        <w:tc>
          <w:tcPr>
            <w:tcW w:type="dxa" w:w="2835"/>
            <w:vAlign w:val="center"/>
            <w:shd w:fill="DCE6F2"/>
          </w:tcPr>
          <w:p>
            <w:r>
              <w:rPr>
                <w:b/>
              </w:rPr>
              <w:t>Use case</w:t>
            </w:r>
          </w:p>
        </w:tc>
        <w:tc>
          <w:tcPr>
            <w:tcW w:type="dxa" w:w="6690"/>
            <w:vAlign w:val="center"/>
            <w:shd w:fill="DCE6F2"/>
          </w:tcPr>
          <w:p>
            <w:r>
              <w:rPr>
                <w:b/>
              </w:rPr>
              <w:t>Safer phrase</w:t>
            </w:r>
          </w:p>
        </w:tc>
      </w:tr>
      <w:tr>
        <w:tc>
          <w:tcPr>
            <w:tcW w:type="dxa" w:w="2835"/>
            <w:vAlign w:val="center"/>
          </w:tcPr>
          <w:p>
            <w:r>
              <w:t>Push back on a weak mitigation</w:t>
            </w:r>
          </w:p>
        </w:tc>
        <w:tc>
          <w:tcPr>
            <w:tcW w:type="dxa" w:w="6690"/>
            <w:vAlign w:val="center"/>
          </w:tcPr>
          <w:p>
            <w:r>
              <w:t>“I think that reduces noise, but it does not materially reduce exploitability.”</w:t>
            </w:r>
          </w:p>
        </w:tc>
      </w:tr>
      <w:tr>
        <w:tc>
          <w:tcPr>
            <w:tcW w:type="dxa" w:w="2835"/>
            <w:vAlign w:val="center"/>
          </w:tcPr>
          <w:p>
            <w:r>
              <w:t>Separate two control types</w:t>
            </w:r>
          </w:p>
        </w:tc>
        <w:tc>
          <w:tcPr>
            <w:tcW w:type="dxa" w:w="6690"/>
            <w:vAlign w:val="center"/>
          </w:tcPr>
          <w:p>
            <w:r>
              <w:t>“I think we are mixing abuse controls and authorization controls. They support each other, but they do not solve the same problem.”</w:t>
            </w:r>
          </w:p>
        </w:tc>
      </w:tr>
      <w:tr>
        <w:tc>
          <w:tcPr>
            <w:tcW w:type="dxa" w:w="2835"/>
            <w:vAlign w:val="center"/>
          </w:tcPr>
          <w:p>
            <w:r>
              <w:t>Keep speed but preserve ownership</w:t>
            </w:r>
          </w:p>
        </w:tc>
        <w:tc>
          <w:tcPr>
            <w:tcW w:type="dxa" w:w="6690"/>
            <w:vAlign w:val="center"/>
          </w:tcPr>
          <w:p>
            <w:r>
              <w:t>“I am open to a phased path here as long as the residual risk and owner are explicit.”</w:t>
            </w:r>
          </w:p>
        </w:tc>
      </w:tr>
      <w:tr>
        <w:tc>
          <w:tcPr>
            <w:tcW w:type="dxa" w:w="2835"/>
            <w:vAlign w:val="center"/>
          </w:tcPr>
          <w:p>
            <w:r>
              <w:t>Director-level pushback</w:t>
            </w:r>
          </w:p>
        </w:tc>
        <w:tc>
          <w:tcPr>
            <w:tcW w:type="dxa" w:w="6690"/>
            <w:vAlign w:val="center"/>
          </w:tcPr>
          <w:p>
            <w:r>
              <w:t>“I hear the business pressure clearly. The key question is whether we are making a conscious trade-off or inheriting one by default.”</w:t>
            </w:r>
          </w:p>
        </w:tc>
      </w:tr>
    </w:tbl>
    <w:p>
      <w:pPr>
        <w:pStyle w:val="Heading1"/>
      </w:pPr>
      <w:r>
        <w:t>5. Follow-up language and meeting close</w:t>
      </w:r>
    </w:p>
    <w:tbl>
      <w:tblPr>
        <w:tblStyle w:val="TableGrid"/>
        <w:tblW w:type="auto" w:w="0"/>
        <w:jc w:val="center"/>
        <w:tblLook w:firstColumn="1" w:firstRow="1" w:lastColumn="0" w:lastRow="0" w:noHBand="0" w:noVBand="1" w:val="04A0"/>
      </w:tblPr>
      <w:tblGrid>
        <w:gridCol w:w="4986"/>
        <w:gridCol w:w="4986"/>
      </w:tblGrid>
      <w:tr>
        <w:tc>
          <w:tcPr>
            <w:tcW w:type="dxa" w:w="2721"/>
            <w:vAlign w:val="center"/>
            <w:shd w:fill="DCE6F2"/>
          </w:tcPr>
          <w:p>
            <w:r>
              <w:rPr>
                <w:b/>
              </w:rPr>
              <w:t>Moment</w:t>
            </w:r>
          </w:p>
        </w:tc>
        <w:tc>
          <w:tcPr>
            <w:tcW w:type="dxa" w:w="6803"/>
            <w:vAlign w:val="center"/>
            <w:shd w:fill="DCE6F2"/>
          </w:tcPr>
          <w:p>
            <w:r>
              <w:rPr>
                <w:b/>
              </w:rPr>
              <w:t>Phrase</w:t>
            </w:r>
          </w:p>
        </w:tc>
      </w:tr>
      <w:tr>
        <w:tc>
          <w:tcPr>
            <w:tcW w:type="dxa" w:w="2721"/>
            <w:vAlign w:val="center"/>
          </w:tcPr>
          <w:p>
            <w:r>
              <w:t>Closing summary</w:t>
            </w:r>
          </w:p>
        </w:tc>
        <w:tc>
          <w:tcPr>
            <w:tcW w:type="dxa" w:w="6803"/>
            <w:vAlign w:val="center"/>
          </w:tcPr>
          <w:p>
            <w:r>
              <w:t>“To close the loop: the issue is X, the owner is Y, and the release condition is Z.”</w:t>
            </w:r>
          </w:p>
        </w:tc>
      </w:tr>
      <w:tr>
        <w:tc>
          <w:tcPr>
            <w:tcW w:type="dxa" w:w="2721"/>
            <w:vAlign w:val="center"/>
          </w:tcPr>
          <w:p>
            <w:r>
              <w:t>Slack/email follow-up</w:t>
            </w:r>
          </w:p>
        </w:tc>
        <w:tc>
          <w:tcPr>
            <w:tcW w:type="dxa" w:w="6803"/>
            <w:vAlign w:val="center"/>
          </w:tcPr>
          <w:p>
            <w:r>
              <w:t>“Thanks again for the discussion today. The agreed next steps are below so we have one clean reference point.”</w:t>
            </w:r>
          </w:p>
        </w:tc>
      </w:tr>
      <w:tr>
        <w:tc>
          <w:tcPr>
            <w:tcW w:type="dxa" w:w="2721"/>
            <w:vAlign w:val="center"/>
          </w:tcPr>
          <w:p>
            <w:r>
              <w:t>Ask for correction</w:t>
            </w:r>
          </w:p>
        </w:tc>
        <w:tc>
          <w:tcPr>
            <w:tcW w:type="dxa" w:w="6803"/>
            <w:vAlign w:val="center"/>
          </w:tcPr>
          <w:p>
            <w:r>
              <w:t>“Please correct anything I captured incorrectly, especially owners, due dates, or the residual-risk statement.”</w:t>
            </w:r>
          </w:p>
        </w:tc>
      </w:tr>
    </w:tbl>
    <w:p>
      <w:pPr>
        <w:pStyle w:val="Heading1"/>
      </w:pPr>
      <w:r>
        <w:t>6. STAR story scaffolds</w:t>
      </w:r>
    </w:p>
    <w:p>
      <w:pPr>
        <w:pStyle w:val="Heading2"/>
      </w:pPr>
      <w:r>
        <w:t>Four-part answer spine</w:t>
      </w:r>
    </w:p>
    <w:tbl>
      <w:tblPr>
        <w:tblStyle w:val="TableGrid"/>
        <w:tblW w:type="auto" w:w="0"/>
        <w:jc w:val="center"/>
        <w:tblLook w:firstColumn="1" w:firstRow="1" w:lastColumn="0" w:lastRow="0" w:noHBand="0" w:noVBand="1" w:val="04A0"/>
      </w:tblPr>
      <w:tblGrid>
        <w:gridCol w:w="4986"/>
        <w:gridCol w:w="4986"/>
      </w:tblGrid>
      <w:tr>
        <w:tc>
          <w:tcPr>
            <w:tcW w:type="dxa" w:w="1814"/>
            <w:vAlign w:val="center"/>
            <w:shd w:fill="DCE6F2"/>
          </w:tcPr>
          <w:p>
            <w:r>
              <w:rPr>
                <w:b/>
              </w:rPr>
              <w:t>STAR block</w:t>
            </w:r>
          </w:p>
        </w:tc>
        <w:tc>
          <w:tcPr>
            <w:tcW w:type="dxa" w:w="7710"/>
            <w:vAlign w:val="center"/>
            <w:shd w:fill="DCE6F2"/>
          </w:tcPr>
          <w:p>
            <w:r>
              <w:rPr>
                <w:b/>
              </w:rPr>
              <w:t>Prompt you can reuse</w:t>
            </w:r>
          </w:p>
        </w:tc>
      </w:tr>
      <w:tr>
        <w:tc>
          <w:tcPr>
            <w:tcW w:type="dxa" w:w="1814"/>
            <w:vAlign w:val="center"/>
          </w:tcPr>
          <w:p>
            <w:r>
              <w:t>Situation</w:t>
            </w:r>
          </w:p>
        </w:tc>
        <w:tc>
          <w:tcPr>
            <w:tcW w:type="dxa" w:w="7710"/>
            <w:vAlign w:val="center"/>
          </w:tcPr>
          <w:p>
            <w:r>
              <w:t>“At the time, the team was dealing with…”</w:t>
            </w:r>
          </w:p>
        </w:tc>
      </w:tr>
      <w:tr>
        <w:tc>
          <w:tcPr>
            <w:tcW w:type="dxa" w:w="1814"/>
            <w:vAlign w:val="center"/>
          </w:tcPr>
          <w:p>
            <w:r>
              <w:t>Task</w:t>
            </w:r>
          </w:p>
        </w:tc>
        <w:tc>
          <w:tcPr>
            <w:tcW w:type="dxa" w:w="7710"/>
            <w:vAlign w:val="center"/>
          </w:tcPr>
          <w:p>
            <w:r>
              <w:t>“My responsibility was to improve / verify / unblock…”</w:t>
            </w:r>
          </w:p>
        </w:tc>
      </w:tr>
      <w:tr>
        <w:tc>
          <w:tcPr>
            <w:tcW w:type="dxa" w:w="1814"/>
            <w:vAlign w:val="center"/>
          </w:tcPr>
          <w:p>
            <w:r>
              <w:t>Action</w:t>
            </w:r>
          </w:p>
        </w:tc>
        <w:tc>
          <w:tcPr>
            <w:tcW w:type="dxa" w:w="7710"/>
            <w:vAlign w:val="center"/>
          </w:tcPr>
          <w:p>
            <w:r>
              <w:t>“I started by mapping the risk and then breaking it into…”</w:t>
            </w:r>
          </w:p>
        </w:tc>
      </w:tr>
      <w:tr>
        <w:tc>
          <w:tcPr>
            <w:tcW w:type="dxa" w:w="1814"/>
            <w:vAlign w:val="center"/>
          </w:tcPr>
          <w:p>
            <w:r>
              <w:t>Result</w:t>
            </w:r>
          </w:p>
        </w:tc>
        <w:tc>
          <w:tcPr>
            <w:tcW w:type="dxa" w:w="7710"/>
            <w:vAlign w:val="center"/>
          </w:tcPr>
          <w:p>
            <w:r>
              <w:t>“The immediate outcome was…, and the longer-term value was…”</w:t>
            </w:r>
          </w:p>
        </w:tc>
      </w:tr>
    </w:tbl>
    <w:p>
      <w:pPr>
        <w:pStyle w:val="Heading2"/>
      </w:pPr>
      <w:r>
        <w:t>Make the story stronger</w:t>
      </w:r>
    </w:p>
    <w:p>
      <w:pPr>
        <w:pStyle w:val="ListBullet"/>
      </w:pPr>
      <w:r>
        <w:t>Name the tension: delivery pressure, unclear ownership, noisy tooling, weak trust boundary, late discovery.</w:t>
      </w:r>
    </w:p>
    <w:p>
      <w:pPr>
        <w:pStyle w:val="ListBullet"/>
      </w:pPr>
      <w:r>
        <w:t>Name your specific contribution. Avoid “we did” for every sentence.</w:t>
      </w:r>
    </w:p>
    <w:p>
      <w:pPr>
        <w:pStyle w:val="ListBullet"/>
      </w:pPr>
      <w:r>
        <w:t>State both the immediate fix and the reusable pattern you left behind.</w:t>
      </w:r>
    </w:p>
    <w:p>
      <w:pPr>
        <w:pStyle w:val="ListBullet"/>
      </w:pPr>
      <w:r>
        <w:t>Translate the result into impact: lower release risk, better evidence, faster triage, stronger coverage, or higher partner trust.</w:t>
      </w:r>
    </w:p>
    <w:p>
      <w:pPr>
        <w:pStyle w:val="Heading1"/>
      </w:pPr>
      <w:r>
        <w:t>7. Role-specific language</w:t>
      </w:r>
    </w:p>
    <w:tbl>
      <w:tblPr>
        <w:tblStyle w:val="TableGrid"/>
        <w:tblW w:type="auto" w:w="0"/>
        <w:jc w:val="center"/>
        <w:tblLook w:firstColumn="1" w:firstRow="1" w:lastColumn="0" w:lastRow="0" w:noHBand="0" w:noVBand="1" w:val="04A0"/>
      </w:tblPr>
      <w:tblGrid>
        <w:gridCol w:w="4986"/>
        <w:gridCol w:w="4986"/>
      </w:tblGrid>
      <w:tr>
        <w:tc>
          <w:tcPr>
            <w:tcW w:type="dxa" w:w="1928"/>
            <w:vAlign w:val="center"/>
            <w:shd w:fill="DCE6F2"/>
          </w:tcPr>
          <w:p>
            <w:r>
              <w:rPr>
                <w:b/>
              </w:rPr>
              <w:t>Role</w:t>
            </w:r>
          </w:p>
        </w:tc>
        <w:tc>
          <w:tcPr>
            <w:tcW w:type="dxa" w:w="7597"/>
            <w:vAlign w:val="center"/>
            <w:shd w:fill="DCE6F2"/>
          </w:tcPr>
          <w:p>
            <w:r>
              <w:rPr>
                <w:b/>
              </w:rPr>
              <w:t>Phrases that usually sound natural and strong</w:t>
            </w:r>
          </w:p>
        </w:tc>
      </w:tr>
      <w:tr>
        <w:tc>
          <w:tcPr>
            <w:tcW w:type="dxa" w:w="1928"/>
            <w:vAlign w:val="center"/>
          </w:tcPr>
          <w:p>
            <w:r>
              <w:t>AppSec engineer</w:t>
            </w:r>
          </w:p>
        </w:tc>
        <w:tc>
          <w:tcPr>
            <w:tcW w:type="dxa" w:w="7597"/>
            <w:vAlign w:val="center"/>
          </w:tcPr>
          <w:p>
            <w:r>
              <w:t>“The likely abuse path is…”, “The fix should move the policy closer to the object decision.”, “I would not treat this as release-blocking yet, but it should not remain unowned.”</w:t>
            </w:r>
          </w:p>
        </w:tc>
      </w:tr>
      <w:tr>
        <w:tc>
          <w:tcPr>
            <w:tcW w:type="dxa" w:w="1928"/>
            <w:vAlign w:val="center"/>
          </w:tcPr>
          <w:p>
            <w:r>
              <w:t>DevSecOps engineer</w:t>
            </w:r>
          </w:p>
        </w:tc>
        <w:tc>
          <w:tcPr>
            <w:tcW w:type="dxa" w:w="7597"/>
            <w:vAlign w:val="center"/>
          </w:tcPr>
          <w:p>
            <w:r>
              <w:t>“The trust boundary is currently too soft between…”, “This pipeline still carries hidden long-lived privilege.”, “I am optimizing for safer defaults without breaking delivery.”</w:t>
            </w:r>
          </w:p>
        </w:tc>
      </w:tr>
      <w:tr>
        <w:tc>
          <w:tcPr>
            <w:tcW w:type="dxa" w:w="1928"/>
            <w:vAlign w:val="center"/>
          </w:tcPr>
          <w:p>
            <w:r>
              <w:t>Manager</w:t>
            </w:r>
          </w:p>
        </w:tc>
        <w:tc>
          <w:tcPr>
            <w:tcW w:type="dxa" w:w="7597"/>
            <w:vAlign w:val="center"/>
          </w:tcPr>
          <w:p>
            <w:r>
              <w:t>“The team does not have a motivation problem; it has an intake-shape problem.”, “We need a cleaner owner and a cleaner lane.”</w:t>
            </w:r>
          </w:p>
        </w:tc>
      </w:tr>
      <w:tr>
        <w:tc>
          <w:tcPr>
            <w:tcW w:type="dxa" w:w="1928"/>
            <w:vAlign w:val="center"/>
          </w:tcPr>
          <w:p>
            <w:r>
              <w:t>Director</w:t>
            </w:r>
          </w:p>
        </w:tc>
        <w:tc>
          <w:tcPr>
            <w:tcW w:type="dxa" w:w="7597"/>
            <w:vAlign w:val="center"/>
          </w:tcPr>
          <w:p>
            <w:r>
              <w:t>“The question is where to create leverage, not where to centralize everything.”, “I changed the sequencing of work without losing the thesis of the program.”</w:t>
            </w:r>
          </w:p>
        </w:tc>
      </w:tr>
    </w:tbl>
    <w:p>
      <w:pPr>
        <w:pStyle w:val="Heading1"/>
      </w:pPr>
      <w:r>
        <w:t>8. Final note</w:t>
      </w:r>
    </w:p>
    <w:p>
      <w:r>
        <w:rPr>
          <w:b/>
        </w:rPr>
        <w:t xml:space="preserve">Best practice: </w:t>
      </w:r>
      <w:r>
        <w:t>sound clear before you try to sound impressive. In Product Security, trusted communication is usually direct, scoped, evidence-based, and calm.</w:t>
      </w:r>
    </w:p>
    <w:sectPr w:rsidR="00FC693F" w:rsidRPr="0006063C" w:rsidSect="00034616">
      <w:footerReference w:type="default" r:id="rId9"/>
      <w:pgSz w:w="12240" w:h="15840"/>
      <w:pgMar w:top="1020" w:right="1134" w:bottom="90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06060"/>
        <w:sz w:val="16"/>
      </w:rPr>
      <w:t xml:space="preserve">Ivan Piskunov (c) — Product Security communication draft templates — Page </w:t>
    </w:r>
    <w:r>
      <w:fldChar w:fldCharType="begin"/>
      <w:instrText xml:space="preserve">PAGE</w:instrText>
      <w:fldChar w:fldCharType="end"/>
    </w:r>
    <w:r>
      <w:rPr>
        <w:color w:val="606060"/>
        <w:sz w:val="16"/>
      </w:rPr>
      <w:t xml:space="preserve"> of </w:t>
    </w:r>
    <w:r>
      <w:fldChar w:fldCharType="begin"/>
      <w:instrText xml:space="preserve">NUMPAGES</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w:hAnsi="Aptos" w:eastAsia="Aptos"/>
      <w:b/>
      <w:bCs/>
      <w:color w:val="172B4D"/>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w:hAnsi="Aptos" w:eastAsia="Aptos"/>
      <w:b/>
      <w:bCs/>
      <w:color w:val="314E80"/>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w:hAnsi="Aptos" w:eastAsia="Aptos"/>
      <w:b/>
      <w:bCs/>
      <w:color w:val="404040"/>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w:hAnsi="Aptos" w:eastAsia="Aptos"/>
      <w:b/>
      <w:color w:val="172B4D"/>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Aptos" w:hAnsi="Aptos" w:eastAsia="Aptos"/>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