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Product Security Policy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Foundational policy establishing product security objectives, lifecycle expectations, governance, and accountability.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PS-001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PS-001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rPr>
          <w:b w:val="0"/>
        </w:rPr>
        <w:t>1. Purpose</w:t>
      </w:r>
    </w:p>
    <w:p>
      <w:pPr>
        <w:ind w:left="216"/>
      </w:pPr>
      <w:r>
        <w:rPr>
          <w:b w:val="0"/>
        </w:rPr>
        <w:t>2. Scope</w:t>
      </w:r>
    </w:p>
    <w:p>
      <w:pPr>
        <w:ind w:left="216"/>
      </w:pPr>
      <w:r>
        <w:rPr>
          <w:b w:val="0"/>
        </w:rPr>
        <w:t>3. Policy Statements</w:t>
      </w:r>
    </w:p>
    <w:p>
      <w:pPr>
        <w:ind w:left="216"/>
      </w:pPr>
      <w:r>
        <w:rPr>
          <w:b w:val="0"/>
        </w:rPr>
        <w:t>4. Roles and Responsibilities</w:t>
      </w:r>
    </w:p>
    <w:p>
      <w:pPr>
        <w:ind w:left="216"/>
      </w:pPr>
      <w:r>
        <w:rPr>
          <w:b w:val="0"/>
        </w:rPr>
        <w:t>5. Lifecycle Requirements</w:t>
      </w:r>
    </w:p>
    <w:p>
      <w:pPr>
        <w:ind w:left="216"/>
      </w:pPr>
      <w:r>
        <w:rPr>
          <w:b w:val="0"/>
        </w:rPr>
        <w:t>6. Governance, Exceptions, and Enforcement</w:t>
      </w:r>
    </w:p>
    <w:p>
      <w:pPr>
        <w:ind w:left="216"/>
      </w:pPr>
      <w:r>
        <w:rPr>
          <w:b w:val="0"/>
        </w:rPr>
        <w:t>7. Metrics, Reporting, and References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policy establishes the company's minimum product security expectations for the planning, design, development, release, operation, and retirement of products and services. It translates executive intent into a durable operating framework that can be supported by standards, procedures, and evidence.</w:t>
      </w:r>
    </w:p>
    <w:p>
      <w:pPr>
        <w:pStyle w:val="Heading1"/>
      </w:pPr>
      <w:r>
        <w:t>Scope</w:t>
      </w:r>
    </w:p>
    <w:p>
      <w:r>
        <w:t>This policy applies to products, services, platforms, shared services, internal developer tooling, and third-party components that process, store, transmit, or materially influence company or customer data. It applies to employees, contractors, and service providers who design, build, review, approve, or operate in-scope systems.</w:t>
      </w:r>
    </w:p>
    <w:p>
      <w:pPr>
        <w:pStyle w:val="Heading1"/>
      </w:pPr>
      <w:r>
        <w:t>Policy Statements</w:t>
      </w:r>
    </w:p>
    <w:p>
      <w:pPr>
        <w:pStyle w:val="ListBullet"/>
      </w:pPr>
      <w:r>
        <w:rPr>
          <w:rFonts w:ascii="Calibri" w:hAnsi="Calibri"/>
          <w:sz w:val="21"/>
        </w:rPr>
        <w:t>Security requirements shall be identified, approved, and traceable before implementation begins for material changes and new products.</w:t>
      </w:r>
    </w:p>
    <w:p>
      <w:pPr>
        <w:pStyle w:val="ListBullet"/>
      </w:pPr>
      <w:r>
        <w:rPr>
          <w:rFonts w:ascii="Calibri" w:hAnsi="Calibri"/>
          <w:sz w:val="21"/>
        </w:rPr>
        <w:t>Threat modeling and secure design review shall be performed for new architectures, major changes, sensitive data flows, privileged capabilities, and externally exposed interfaces.</w:t>
      </w:r>
    </w:p>
    <w:p>
      <w:pPr>
        <w:pStyle w:val="ListBullet"/>
      </w:pPr>
      <w:r>
        <w:rPr>
          <w:rFonts w:ascii="Calibri" w:hAnsi="Calibri"/>
          <w:sz w:val="21"/>
        </w:rPr>
        <w:t>Security verification activities shall be risk-based and may include code review, automated analysis, dependency review, infrastructure review, abuse-case testing, and release-gate evidence.</w:t>
      </w:r>
    </w:p>
    <w:p>
      <w:pPr>
        <w:pStyle w:val="ListBullet"/>
      </w:pPr>
      <w:r>
        <w:rPr>
          <w:rFonts w:ascii="Calibri" w:hAnsi="Calibri"/>
          <w:sz w:val="21"/>
        </w:rPr>
        <w:t>Vulnerabilities shall be triaged, remediated, or formally risk-accepted within defined timeframes based on severity and exposure.</w:t>
      </w:r>
    </w:p>
    <w:p>
      <w:pPr>
        <w:pStyle w:val="ListBullet"/>
      </w:pPr>
      <w:r>
        <w:rPr>
          <w:rFonts w:ascii="Calibri" w:hAnsi="Calibri"/>
          <w:sz w:val="21"/>
        </w:rPr>
        <w:t>Product teams shall maintain clear ownership for controls, findings, exceptions, and residual risk decisions.</w:t>
      </w:r>
    </w:p>
    <w:p>
      <w:pPr>
        <w:pStyle w:val="Heading1"/>
      </w:pPr>
      <w:r>
        <w:t>Roles and Responsibilities</w:t>
      </w:r>
    </w:p>
    <w:p>
      <w:pPr>
        <w:pStyle w:val="ListBullet"/>
      </w:pPr>
      <w:r>
        <w:rPr>
          <w:rFonts w:ascii="Calibri" w:hAnsi="Calibri"/>
          <w:sz w:val="21"/>
        </w:rPr>
        <w:t>Executive risk owner: accountable for business risk decisions and risk acceptance above delegated thresholds.</w:t>
      </w:r>
    </w:p>
    <w:p>
      <w:pPr>
        <w:pStyle w:val="ListBullet"/>
      </w:pPr>
      <w:r>
        <w:rPr>
          <w:rFonts w:ascii="Calibri" w:hAnsi="Calibri"/>
          <w:sz w:val="21"/>
        </w:rPr>
        <w:t>Head of Product Security: owns this policy, supporting standards, exception rules, and program oversight.</w:t>
      </w:r>
    </w:p>
    <w:p>
      <w:pPr>
        <w:pStyle w:val="ListBullet"/>
      </w:pPr>
      <w:r>
        <w:rPr>
          <w:rFonts w:ascii="Calibri" w:hAnsi="Calibri"/>
          <w:sz w:val="21"/>
        </w:rPr>
        <w:t>Engineering leadership: ensures teams implement this policy within delivery processes and staffing plans.</w:t>
      </w:r>
    </w:p>
    <w:p>
      <w:pPr>
        <w:pStyle w:val="ListBullet"/>
      </w:pPr>
      <w:r>
        <w:rPr>
          <w:rFonts w:ascii="Calibri" w:hAnsi="Calibri"/>
          <w:sz w:val="21"/>
        </w:rPr>
        <w:t>Product teams: design, build, test, document, and operate controls required by the policy and associated standards.</w:t>
      </w:r>
    </w:p>
    <w:p>
      <w:pPr>
        <w:pStyle w:val="ListBullet"/>
      </w:pPr>
      <w:r>
        <w:rPr>
          <w:rFonts w:ascii="Calibri" w:hAnsi="Calibri"/>
          <w:sz w:val="21"/>
        </w:rPr>
        <w:t>Internal audit, compliance, legal, and privacy functions: provide independent challenge, specialist input, and control validation where applicable.</w:t>
      </w:r>
    </w:p>
    <w:p>
      <w:pPr>
        <w:pStyle w:val="Heading1"/>
      </w:pPr>
      <w:r>
        <w:t>Lifecycle Requirements</w:t>
      </w:r>
    </w:p>
    <w:p>
      <w:pPr>
        <w:pStyle w:val="ListNumber"/>
      </w:pPr>
      <w:r>
        <w:rPr>
          <w:rFonts w:ascii="Calibri" w:hAnsi="Calibri"/>
          <w:sz w:val="21"/>
        </w:rPr>
        <w:t>Plan: define security requirements, data classification, critical dependencies, and ownership.</w:t>
      </w:r>
    </w:p>
    <w:p>
      <w:pPr>
        <w:pStyle w:val="ListNumber"/>
      </w:pPr>
      <w:r>
        <w:rPr>
          <w:rFonts w:ascii="Calibri" w:hAnsi="Calibri"/>
          <w:sz w:val="21"/>
        </w:rPr>
        <w:t>Design: identify trust boundaries, external dependencies, abuse cases, and compensating controls.</w:t>
      </w:r>
    </w:p>
    <w:p>
      <w:pPr>
        <w:pStyle w:val="ListNumber"/>
      </w:pPr>
      <w:r>
        <w:rPr>
          <w:rFonts w:ascii="Calibri" w:hAnsi="Calibri"/>
          <w:sz w:val="21"/>
        </w:rPr>
        <w:t>Build: follow approved coding standards, manage secrets correctly, and maintain dependency hygiene.</w:t>
      </w:r>
    </w:p>
    <w:p>
      <w:pPr>
        <w:pStyle w:val="ListNumber"/>
      </w:pPr>
      <w:r>
        <w:rPr>
          <w:rFonts w:ascii="Calibri" w:hAnsi="Calibri"/>
          <w:sz w:val="21"/>
        </w:rPr>
        <w:t>Verify: perform proportionate review and testing before release, with evidence retained in the release record.</w:t>
      </w:r>
    </w:p>
    <w:p>
      <w:pPr>
        <w:pStyle w:val="ListNumber"/>
      </w:pPr>
      <w:r>
        <w:rPr>
          <w:rFonts w:ascii="Calibri" w:hAnsi="Calibri"/>
          <w:sz w:val="21"/>
        </w:rPr>
        <w:t>Operate: monitor security-relevant events, respond to findings, rotate secrets and keys, and review material changes.</w:t>
      </w:r>
    </w:p>
    <w:p>
      <w:pPr>
        <w:pStyle w:val="Heading1"/>
      </w:pPr>
      <w:r>
        <w:t>Governance, Exceptions, and Enforcement</w:t>
      </w:r>
    </w:p>
    <w:p>
      <w:r>
        <w:t>Supporting standards and procedures define the detailed controls, evidence expectations, and approval workflows needed to implement this policy. Exceptions must be time-bound, documented, approved by delegated authorities, and accompanied by compensating controls.</w:t>
      </w:r>
    </w:p>
    <w:p>
      <w:r>
        <w:t>Non-compliance shall be handled through corrective action plans, management escalation, and, where required, formal risk acceptance or release blocking.</w:t>
      </w:r>
    </w:p>
    <w:p>
      <w:pPr>
        <w:pStyle w:val="Heading1"/>
      </w:pPr>
      <w:r>
        <w:t>Metrics, Reporting, and References</w:t>
      </w:r>
    </w:p>
    <w:p>
      <w:pPr>
        <w:pStyle w:val="ListBullet"/>
      </w:pPr>
      <w:r>
        <w:rPr>
          <w:rFonts w:ascii="Calibri" w:hAnsi="Calibri"/>
          <w:sz w:val="21"/>
        </w:rPr>
        <w:t>Recommended program metrics include review coverage, vulnerability aging, exception aging, backlog burn-down, and release-gate completion rates.</w:t>
      </w:r>
    </w:p>
    <w:p>
      <w:pPr>
        <w:pStyle w:val="ListBullet"/>
      </w:pPr>
      <w:r>
        <w:rPr>
          <w:rFonts w:ascii="Calibri" w:hAnsi="Calibri"/>
          <w:sz w:val="21"/>
        </w:rPr>
        <w:t>Suggested external references: NIST SSDF, OWASP SAMM, OWASP ASVS, OWASP Threat Modeling resources, and SAFECode secure development practices.</w:t>
      </w:r>
    </w:p>
    <w:p>
      <w:pPr>
        <w:pStyle w:val="ListBullet"/>
      </w:pPr>
      <w:r>
        <w:rPr>
          <w:rFonts w:ascii="Calibri" w:hAnsi="Calibri"/>
          <w:sz w:val="21"/>
        </w:rPr>
        <w:t>Related internal documents should include standards for threat modeling, security requirements, review and approval, exceptions, release gates, and vulnerability management.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PS-001  |  Product Security Policy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