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Product Security Roles, Responsibilities, Segregation of Duties, and RACI Standard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Operating standard defining ownership boundaries, approval separation, and minimum RACI expectations.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PS-002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PS-002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rPr>
          <w:b w:val="0"/>
        </w:rPr>
        <w:t>1. Purpose</w:t>
      </w:r>
    </w:p>
    <w:p>
      <w:pPr>
        <w:ind w:left="216"/>
      </w:pPr>
      <w:r>
        <w:rPr>
          <w:b w:val="0"/>
        </w:rPr>
        <w:t>2. Scope</w:t>
      </w:r>
    </w:p>
    <w:p>
      <w:pPr>
        <w:ind w:left="216"/>
      </w:pPr>
      <w:r>
        <w:rPr>
          <w:b w:val="0"/>
        </w:rPr>
        <w:t>3. Principles</w:t>
      </w:r>
    </w:p>
    <w:p>
      <w:pPr>
        <w:ind w:left="216"/>
      </w:pPr>
      <w:r>
        <w:rPr>
          <w:b w:val="0"/>
        </w:rPr>
        <w:t>4. Segregation of Duties Rules</w:t>
      </w:r>
    </w:p>
    <w:p>
      <w:pPr>
        <w:ind w:left="216"/>
      </w:pPr>
      <w:r>
        <w:rPr>
          <w:b w:val="0"/>
        </w:rPr>
        <w:t>5. RACI</w:t>
      </w:r>
    </w:p>
    <w:p>
      <w:pPr>
        <w:ind w:left="216"/>
      </w:pPr>
      <w:r>
        <w:rPr>
          <w:b w:val="0"/>
        </w:rPr>
        <w:t>6. Operating Cadence</w:t>
      </w:r>
    </w:p>
    <w:p>
      <w:pPr>
        <w:ind w:left="216"/>
      </w:pPr>
      <w:r>
        <w:rPr>
          <w:b w:val="0"/>
        </w:rPr>
        <w:t>7. References and Records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standard defines how product security responsibilities are allocated, how approvals are separated, and how decision rights are documented across the software and platform lifecycle.</w:t>
      </w:r>
    </w:p>
    <w:p>
      <w:pPr>
        <w:pStyle w:val="Heading1"/>
      </w:pPr>
      <w:r>
        <w:t>Scope</w:t>
      </w:r>
    </w:p>
    <w:p>
      <w:r>
        <w:t>This standard applies to product engineering, product management, security, architecture, platform engineering, SRE, legal/privacy, and executive risk owners engaged in in-scope product decisions.</w:t>
      </w:r>
    </w:p>
    <w:p>
      <w:pPr>
        <w:pStyle w:val="Heading1"/>
      </w:pPr>
      <w:r>
        <w:t>Principles</w:t>
      </w:r>
    </w:p>
    <w:p>
      <w:pPr>
        <w:pStyle w:val="ListBullet"/>
      </w:pPr>
      <w:r>
        <w:rPr>
          <w:rFonts w:ascii="Calibri" w:hAnsi="Calibri"/>
          <w:sz w:val="21"/>
        </w:rPr>
        <w:t>Ownership must be explicit, current, and visible to decision-makers.</w:t>
      </w:r>
    </w:p>
    <w:p>
      <w:pPr>
        <w:pStyle w:val="ListBullet"/>
      </w:pPr>
      <w:r>
        <w:rPr>
          <w:rFonts w:ascii="Calibri" w:hAnsi="Calibri"/>
          <w:sz w:val="21"/>
        </w:rPr>
        <w:t>The same individual should not both implement and independently approve high-impact security decisions where separation is practical.</w:t>
      </w:r>
    </w:p>
    <w:p>
      <w:pPr>
        <w:pStyle w:val="ListBullet"/>
      </w:pPr>
      <w:r>
        <w:rPr>
          <w:rFonts w:ascii="Calibri" w:hAnsi="Calibri"/>
          <w:sz w:val="21"/>
        </w:rPr>
        <w:t>Risk acceptance requires a business owner who is senior enough to accept the residual risk and not solely the implementer of the change.</w:t>
      </w:r>
    </w:p>
    <w:p>
      <w:pPr>
        <w:pStyle w:val="ListBullet"/>
      </w:pPr>
      <w:r>
        <w:rPr>
          <w:rFonts w:ascii="Calibri" w:hAnsi="Calibri"/>
          <w:sz w:val="21"/>
        </w:rPr>
        <w:t>Security review responsibility can be delegated; accountability for delivery and operations remains with engineering leadership and product ownership.</w:t>
      </w:r>
    </w:p>
    <w:p>
      <w:pPr>
        <w:pStyle w:val="Heading1"/>
      </w:pPr>
      <w:r>
        <w:t>Segregation of Duties Rules</w:t>
      </w:r>
    </w:p>
    <w:p>
      <w:pPr>
        <w:pStyle w:val="ListBullet"/>
      </w:pPr>
      <w:r>
        <w:rPr>
          <w:rFonts w:ascii="Calibri" w:hAnsi="Calibri"/>
          <w:sz w:val="21"/>
        </w:rPr>
        <w:t>Code authors should not be the sole approvers for security-sensitive pull requests or architecture exceptions.</w:t>
      </w:r>
    </w:p>
    <w:p>
      <w:pPr>
        <w:pStyle w:val="ListBullet"/>
      </w:pPr>
      <w:r>
        <w:rPr>
          <w:rFonts w:ascii="Calibri" w:hAnsi="Calibri"/>
          <w:sz w:val="21"/>
        </w:rPr>
        <w:t>The requester of a policy exception should not be the final approver of that exception.</w:t>
      </w:r>
    </w:p>
    <w:p>
      <w:pPr>
        <w:pStyle w:val="ListBullet"/>
      </w:pPr>
      <w:r>
        <w:rPr>
          <w:rFonts w:ascii="Calibri" w:hAnsi="Calibri"/>
          <w:sz w:val="21"/>
        </w:rPr>
        <w:t>Release evidence should be assembled by the delivery team but reviewed by a separate approver for production releases in defined risk classes.</w:t>
      </w:r>
    </w:p>
    <w:p>
      <w:pPr>
        <w:pStyle w:val="ListBullet"/>
      </w:pPr>
      <w:r>
        <w:rPr>
          <w:rFonts w:ascii="Calibri" w:hAnsi="Calibri"/>
          <w:sz w:val="21"/>
        </w:rPr>
        <w:t>Administrative production access should require separate authorization, logging, and break-glass governance where applicable.</w:t>
      </w:r>
    </w:p>
    <w:p>
      <w:pPr>
        <w:pStyle w:val="Heading1"/>
      </w:pPr>
      <w:r>
        <w:t>RACI</w:t>
      </w:r>
    </w:p>
    <w:p>
      <w:pPr>
        <w:pStyle w:val="Heading2"/>
      </w:pPr>
      <w:r>
        <w:t>Core RACI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Activity</w:t>
            </w:r>
          </w:p>
        </w:tc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PSec</w:t>
            </w:r>
          </w:p>
        </w:tc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Eng</w:t>
            </w:r>
          </w:p>
        </w:tc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Arch</w:t>
            </w:r>
          </w:p>
        </w:tc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PM</w:t>
            </w:r>
          </w:p>
        </w:tc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Plat</w:t>
            </w:r>
          </w:p>
        </w:tc>
        <w:tc>
          <w:tcPr>
            <w:tcW w:type="dxa" w:w="1419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6"/>
              </w:rPr>
              <w:t>Risk</w:t>
            </w:r>
          </w:p>
        </w:tc>
      </w:tr>
      <w:tr>
        <w:tc>
          <w:tcPr>
            <w:tcW w:type="dxa" w:w="1419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6"/>
              </w:rPr>
              <w:t>Define security reqs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A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R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</w:tr>
      <w:tr>
        <w:tc>
          <w:tcPr>
            <w:tcW w:type="dxa" w:w="1419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6"/>
              </w:rPr>
              <w:t>Threat model major change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A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R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R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</w:tr>
      <w:tr>
        <w:tc>
          <w:tcPr>
            <w:tcW w:type="dxa" w:w="1419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6"/>
              </w:rPr>
              <w:t>Approve arch exceptions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R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A</w:t>
            </w:r>
          </w:p>
        </w:tc>
      </w:tr>
      <w:tr>
        <w:tc>
          <w:tcPr>
            <w:tcW w:type="dxa" w:w="1419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6"/>
              </w:rPr>
              <w:t>Triage critical vuln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A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R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</w:tr>
      <w:tr>
        <w:tc>
          <w:tcPr>
            <w:tcW w:type="dxa" w:w="1419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6"/>
              </w:rPr>
              <w:t>Approve prod release gate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R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A</w:t>
            </w:r>
          </w:p>
        </w:tc>
      </w:tr>
      <w:tr>
        <w:tc>
          <w:tcPr>
            <w:tcW w:type="dxa" w:w="1419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6"/>
              </w:rPr>
              <w:t>Accept residual security risk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C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I</w:t>
            </w:r>
          </w:p>
        </w:tc>
        <w:tc>
          <w:tcPr>
            <w:tcW w:type="dxa" w:w="1419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9"/>
              </w:rPr>
              <w:t>A</w:t>
            </w:r>
          </w:p>
        </w:tc>
      </w:tr>
    </w:tbl>
    <w:p/>
    <w:p>
      <w:pPr>
        <w:pStyle w:val="Heading1"/>
      </w:pPr>
      <w:r>
        <w:t>Operating Cadence</w:t>
      </w:r>
    </w:p>
    <w:p>
      <w:pPr>
        <w:pStyle w:val="ListBullet"/>
      </w:pPr>
      <w:r>
        <w:rPr>
          <w:rFonts w:ascii="Calibri" w:hAnsi="Calibri"/>
          <w:sz w:val="21"/>
        </w:rPr>
        <w:t>Review role assignments at least quarterly and after reorganizations or major platform changes.</w:t>
      </w:r>
    </w:p>
    <w:p>
      <w:pPr>
        <w:pStyle w:val="ListBullet"/>
      </w:pPr>
      <w:r>
        <w:rPr>
          <w:rFonts w:ascii="Calibri" w:hAnsi="Calibri"/>
          <w:sz w:val="21"/>
        </w:rPr>
        <w:t>Maintain a current ownership register for products, services, shared platforms, and approval delegations.</w:t>
      </w:r>
    </w:p>
    <w:p>
      <w:pPr>
        <w:pStyle w:val="ListBullet"/>
      </w:pPr>
      <w:r>
        <w:rPr>
          <w:rFonts w:ascii="Calibri" w:hAnsi="Calibri"/>
          <w:sz w:val="21"/>
        </w:rPr>
        <w:t>Record approvers, dates, and decision rationale in the relevant system of record.</w:t>
      </w:r>
    </w:p>
    <w:p>
      <w:pPr>
        <w:pStyle w:val="Heading1"/>
      </w:pPr>
      <w:r>
        <w:t>References and Records</w:t>
      </w:r>
    </w:p>
    <w:p>
      <w:r>
        <w:t>Keep the current RACI matrix, delegation records, exception approvals, release approvals, and ownership register as controlled records. Cross-reference this standard from security policies, SDLC standards, and access governance procedures.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PS-002  |  Product Security Roles, Responsibilities, Segregation of Duties, and RACI Standard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