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Security Requirements Management Standard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Standard for defining, tracing, approving, changing, and verifying product security requirements.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PS-004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PS-004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rPr>
          <w:b w:val="0"/>
        </w:rPr>
        <w:t>1. Purpose</w:t>
      </w:r>
    </w:p>
    <w:p>
      <w:pPr>
        <w:ind w:left="216"/>
      </w:pPr>
      <w:r>
        <w:rPr>
          <w:b w:val="0"/>
        </w:rPr>
        <w:t>2. Sources of Security Requirements</w:t>
      </w:r>
    </w:p>
    <w:p>
      <w:pPr>
        <w:ind w:left="216"/>
      </w:pPr>
      <w:r>
        <w:rPr>
          <w:b w:val="0"/>
        </w:rPr>
        <w:t>3. Requirement Categories</w:t>
      </w:r>
    </w:p>
    <w:p>
      <w:pPr>
        <w:ind w:left="216"/>
      </w:pPr>
      <w:r>
        <w:rPr>
          <w:b w:val="0"/>
        </w:rPr>
        <w:t>4. Recording and Traceability</w:t>
      </w:r>
    </w:p>
    <w:p>
      <w:pPr>
        <w:ind w:left="216"/>
      </w:pPr>
      <w:r>
        <w:rPr>
          <w:b w:val="0"/>
        </w:rPr>
        <w:t>5. Change Management</w:t>
      </w:r>
    </w:p>
    <w:p>
      <w:pPr>
        <w:ind w:left="216"/>
      </w:pPr>
      <w:r>
        <w:rPr>
          <w:b w:val="0"/>
        </w:rPr>
        <w:t>6. Verification and Evidence</w:t>
      </w:r>
    </w:p>
    <w:p>
      <w:pPr>
        <w:ind w:left="216"/>
      </w:pPr>
      <w:r>
        <w:rPr>
          <w:b w:val="0"/>
        </w:rPr>
        <w:t>7. References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standard defines how product security requirements are generated, approved, stored, traced, and verified so that security expectations are explicit rather than implied.</w:t>
      </w:r>
    </w:p>
    <w:p>
      <w:pPr>
        <w:pStyle w:val="Heading1"/>
      </w:pPr>
      <w:r>
        <w:t>Sources of Security Requirements</w:t>
      </w:r>
    </w:p>
    <w:p>
      <w:pPr>
        <w:pStyle w:val="ListBullet"/>
      </w:pPr>
      <w:r>
        <w:rPr>
          <w:rFonts w:ascii="Calibri" w:hAnsi="Calibri"/>
          <w:sz w:val="21"/>
        </w:rPr>
        <w:t>Legal, regulatory, contractual, and customer commitments.</w:t>
      </w:r>
    </w:p>
    <w:p>
      <w:pPr>
        <w:pStyle w:val="ListBullet"/>
      </w:pPr>
      <w:r>
        <w:rPr>
          <w:rFonts w:ascii="Calibri" w:hAnsi="Calibri"/>
          <w:sz w:val="21"/>
        </w:rPr>
        <w:t>Internal policies, standards, architecture decisions, and platform baselines.</w:t>
      </w:r>
    </w:p>
    <w:p>
      <w:pPr>
        <w:pStyle w:val="ListBullet"/>
      </w:pPr>
      <w:r>
        <w:rPr>
          <w:rFonts w:ascii="Calibri" w:hAnsi="Calibri"/>
          <w:sz w:val="21"/>
        </w:rPr>
        <w:t>Threat models, abuse cases, incidents, vulnerability trends, and postmortem findings.</w:t>
      </w:r>
    </w:p>
    <w:p>
      <w:pPr>
        <w:pStyle w:val="ListBullet"/>
      </w:pPr>
      <w:r>
        <w:rPr>
          <w:rFonts w:ascii="Calibri" w:hAnsi="Calibri"/>
          <w:sz w:val="21"/>
        </w:rPr>
        <w:t>External standards and references such as OWASP ASVS, NIST SSDF, and relevant cloud/provider baselines.</w:t>
      </w:r>
    </w:p>
    <w:p>
      <w:pPr>
        <w:pStyle w:val="Heading1"/>
      </w:pPr>
      <w:r>
        <w:t>Requirement Categories</w:t>
      </w:r>
    </w:p>
    <w:p>
      <w:pPr>
        <w:pStyle w:val="ListBullet"/>
      </w:pPr>
      <w:r>
        <w:rPr>
          <w:rFonts w:ascii="Calibri" w:hAnsi="Calibri"/>
          <w:sz w:val="21"/>
        </w:rPr>
        <w:t>Identity, authentication, authorization, and session control requirements.</w:t>
      </w:r>
    </w:p>
    <w:p>
      <w:pPr>
        <w:pStyle w:val="ListBullet"/>
      </w:pPr>
      <w:r>
        <w:rPr>
          <w:rFonts w:ascii="Calibri" w:hAnsi="Calibri"/>
          <w:sz w:val="21"/>
        </w:rPr>
        <w:t>Data protection, encryption, logging, and monitoring requirements.</w:t>
      </w:r>
    </w:p>
    <w:p>
      <w:pPr>
        <w:pStyle w:val="ListBullet"/>
      </w:pPr>
      <w:r>
        <w:rPr>
          <w:rFonts w:ascii="Calibri" w:hAnsi="Calibri"/>
          <w:sz w:val="21"/>
        </w:rPr>
        <w:t>Secure design and trust-boundary controls such as service authentication, input validation, and network restrictions.</w:t>
      </w:r>
    </w:p>
    <w:p>
      <w:pPr>
        <w:pStyle w:val="ListBullet"/>
      </w:pPr>
      <w:r>
        <w:rPr>
          <w:rFonts w:ascii="Calibri" w:hAnsi="Calibri"/>
          <w:sz w:val="21"/>
        </w:rPr>
        <w:t>Release, operational, and evidence requirements such as mandatory scans, approvals, and rollback controls.</w:t>
      </w:r>
    </w:p>
    <w:p>
      <w:pPr>
        <w:pStyle w:val="Heading1"/>
      </w:pPr>
      <w:r>
        <w:t>Recording and Traceability</w:t>
      </w:r>
    </w:p>
    <w:p>
      <w:pPr>
        <w:pStyle w:val="ListNumber"/>
      </w:pPr>
      <w:r>
        <w:rPr>
          <w:rFonts w:ascii="Calibri" w:hAnsi="Calibri"/>
          <w:sz w:val="21"/>
        </w:rPr>
        <w:t>Record each requirement with an identifier, statement, rationale, owner, and source.</w:t>
      </w:r>
    </w:p>
    <w:p>
      <w:pPr>
        <w:pStyle w:val="ListNumber"/>
      </w:pPr>
      <w:r>
        <w:rPr>
          <w:rFonts w:ascii="Calibri" w:hAnsi="Calibri"/>
          <w:sz w:val="21"/>
        </w:rPr>
        <w:t>Map each requirement to the component, release, or platform scope it affects.</w:t>
      </w:r>
    </w:p>
    <w:p>
      <w:pPr>
        <w:pStyle w:val="ListNumber"/>
      </w:pPr>
      <w:r>
        <w:rPr>
          <w:rFonts w:ascii="Calibri" w:hAnsi="Calibri"/>
          <w:sz w:val="21"/>
        </w:rPr>
        <w:t>Map each requirement to one or more verification activities, controls, or evidence sources.</w:t>
      </w:r>
    </w:p>
    <w:p>
      <w:pPr>
        <w:pStyle w:val="ListNumber"/>
      </w:pPr>
      <w:r>
        <w:rPr>
          <w:rFonts w:ascii="Calibri" w:hAnsi="Calibri"/>
          <w:sz w:val="21"/>
        </w:rPr>
        <w:t>Retain the status, exceptions, waivers, and superseded history for auditability.</w:t>
      </w:r>
    </w:p>
    <w:p>
      <w:pPr>
        <w:pStyle w:val="Heading1"/>
      </w:pPr>
      <w:r>
        <w:t>Change Management</w:t>
      </w:r>
    </w:p>
    <w:p>
      <w:r>
        <w:t>Material changes to security requirements must be reviewed by Product Security and the relevant engineering owner before they are treated as approved. When a requirement is deferred, compensated, or superseded, the record must explain why and identify the interim controls or residual risk owner.</w:t>
      </w:r>
    </w:p>
    <w:p>
      <w:r>
        <w:t>Product teams should avoid requirements drift by reviewing the active requirement set during major milestones, architectural reviews, and post-incident actions.</w:t>
      </w:r>
    </w:p>
    <w:p>
      <w:pPr>
        <w:pStyle w:val="Heading1"/>
      </w:pPr>
      <w:r>
        <w:t>Verification and Evidence</w:t>
      </w:r>
    </w:p>
    <w:p>
      <w:pPr>
        <w:pStyle w:val="ListBullet"/>
      </w:pPr>
      <w:r>
        <w:rPr>
          <w:rFonts w:ascii="Calibri" w:hAnsi="Calibri"/>
          <w:sz w:val="21"/>
        </w:rPr>
        <w:t>Verification methods may include design review, code review, automated checks, test evidence, runtime evidence, or compensating control review.</w:t>
      </w:r>
    </w:p>
    <w:p>
      <w:pPr>
        <w:pStyle w:val="ListBullet"/>
      </w:pPr>
      <w:r>
        <w:rPr>
          <w:rFonts w:ascii="Calibri" w:hAnsi="Calibri"/>
          <w:sz w:val="21"/>
        </w:rPr>
        <w:t>Each requirement should have an intended evidence source or decision record before release.</w:t>
      </w:r>
    </w:p>
    <w:p>
      <w:pPr>
        <w:pStyle w:val="ListBullet"/>
      </w:pPr>
      <w:r>
        <w:rPr>
          <w:rFonts w:ascii="Calibri" w:hAnsi="Calibri"/>
          <w:sz w:val="21"/>
        </w:rPr>
        <w:t>Unverified high-risk requirements must be escalated through the review and exception workflow.</w:t>
      </w:r>
    </w:p>
    <w:p>
      <w:pPr>
        <w:pStyle w:val="Heading1"/>
      </w:pPr>
      <w:r>
        <w:t>References</w:t>
      </w:r>
    </w:p>
    <w:p>
      <w:r>
        <w:t>Use OWASP ASVS as the primary public application-security requirement catalog, and complement it with NIST SSDF, threat-model outputs, platform baselines, and customer-specific requirements where applicable.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PS-004  |  Security Requirements Management Standard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