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183A67"/>
          </w:tcPr>
          <w:p>
            <w:pPr>
              <w:spacing w:after="40"/>
              <w:jc w:val="left"/>
            </w:pPr>
            <w:r>
              <w:rPr>
                <w:rFonts w:ascii="Calibri" w:hAnsi="Calibri"/>
                <w:b/>
                <w:color w:val="FFFFFF"/>
                <w:sz w:val="18"/>
              </w:rPr>
              <w:t>PRODUCT SECURITY POLICY TEMPLATE</w:t>
            </w:r>
          </w:p>
          <w:p>
            <w:pPr>
              <w:jc w:val="left"/>
            </w:pPr>
            <w:r>
              <w:rPr>
                <w:rFonts w:ascii="Calibri" w:hAnsi="Calibri"/>
                <w:b/>
                <w:color w:val="FFFFFF"/>
                <w:sz w:val="44"/>
              </w:rPr>
              <w:t>Vulnerability Management, Remediation, and Coordinated Disclosure Standard</w:t>
            </w:r>
          </w:p>
          <w:p>
            <w:r>
              <w:rPr>
                <w:rFonts w:ascii="Calibri" w:hAnsi="Calibri"/>
                <w:color w:val="EAF0F8"/>
                <w:sz w:val="21"/>
              </w:rPr>
              <w:t>Standard for finding intake, triage, remediation, validation, communication, and disclosure governance.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Document ID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PS-006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Version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0.1 (starter template)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Owner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[Chief Product Security Officer / Head of Product Security]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Approved by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[Executive Risk Owner / Security Steering Committee]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Effective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Next review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Classification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Internal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Review cycle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At least annually, and when a material change occurs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Applies to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[Products, services, engineering teams, and supporting functions in scope]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F7F9FC"/>
          </w:tcPr>
          <w:p>
            <w:pPr>
              <w:jc w:val="left"/>
            </w:pPr>
            <w:r>
              <w:rPr>
                <w:rFonts w:ascii="Calibri" w:hAnsi="Calibri"/>
                <w:color w:val="1F1F1F"/>
                <w:sz w:val="20"/>
              </w:rPr>
              <w:t>Template note: this is an intentionally reduced starter. Replace bracketed placeholders, tailor the approval path, align terminology to your operating model, and add references to your internal standards, systems, and evidence sources.</w:t>
            </w:r>
          </w:p>
        </w:tc>
      </w:tr>
    </w:tbl>
    <w:p/>
    <w:p>
      <w:r>
        <w:br w:type="page"/>
      </w:r>
    </w:p>
    <w:p>
      <w:pPr>
        <w:pStyle w:val="Heading1"/>
      </w:pPr>
      <w:r>
        <w:t>Document Control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Document ID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PS-006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Version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0.1 (starter template)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Owner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[Chief Product Security Officer / Head of Product Security]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Approved by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[Executive Risk Owner / Security Steering Committee]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Effective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Next review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Classification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Internal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Review cycle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At least annually, and when a material change occurs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Applies to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[Products, services, engineering teams, and supporting functions in scope]</w:t>
            </w:r>
          </w:p>
        </w:tc>
      </w:tr>
    </w:tbl>
    <w:p/>
    <w:p>
      <w:pPr>
        <w:pStyle w:val="Heading2"/>
      </w:pPr>
      <w:r>
        <w:t>Approval Signatures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Role</w:t>
            </w:r>
          </w:p>
        </w:tc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Name</w:t>
            </w:r>
          </w:p>
        </w:tc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Signature</w:t>
            </w:r>
          </w:p>
        </w:tc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Policy Owner</w:t>
            </w:r>
          </w:p>
        </w:tc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 / Title]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____________________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Security Leadership Approver</w:t>
            </w:r>
          </w:p>
        </w:tc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 / Title]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____________________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Engineering Leadership Approver</w:t>
            </w:r>
          </w:p>
        </w:tc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 / Title]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____________________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</w:tbl>
    <w:p/>
    <w:p>
      <w:pPr>
        <w:pStyle w:val="Heading2"/>
      </w:pPr>
      <w: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87"/>
        <w:gridCol w:w="1987"/>
        <w:gridCol w:w="1987"/>
        <w:gridCol w:w="1987"/>
        <w:gridCol w:w="1987"/>
      </w:tblGrid>
      <w:tr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Summary of Change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Approver</w:t>
            </w:r>
          </w:p>
        </w:tc>
      </w:tr>
      <w:tr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0.1</w:t>
            </w:r>
          </w:p>
        </w:tc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Template draft created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</w:tr>
      <w:tr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1.0</w:t>
            </w:r>
          </w:p>
        </w:tc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Initial approved release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ind w:left="216"/>
      </w:pPr>
      <w:r>
        <w:rPr>
          <w:b w:val="0"/>
        </w:rPr>
        <w:t>1. Purpose</w:t>
      </w:r>
    </w:p>
    <w:p>
      <w:pPr>
        <w:ind w:left="216"/>
      </w:pPr>
      <w:r>
        <w:rPr>
          <w:b w:val="0"/>
        </w:rPr>
        <w:t>2. Intake Sources</w:t>
      </w:r>
    </w:p>
    <w:p>
      <w:pPr>
        <w:ind w:left="216"/>
      </w:pPr>
      <w:r>
        <w:rPr>
          <w:b w:val="0"/>
        </w:rPr>
        <w:t>3. Triage and Severity</w:t>
      </w:r>
    </w:p>
    <w:p>
      <w:pPr>
        <w:ind w:left="216"/>
      </w:pPr>
      <w:r>
        <w:rPr>
          <w:b w:val="0"/>
        </w:rPr>
        <w:t>4. Remediation Expectations</w:t>
      </w:r>
    </w:p>
    <w:p>
      <w:pPr>
        <w:ind w:left="216"/>
      </w:pPr>
      <w:r>
        <w:rPr>
          <w:b w:val="0"/>
        </w:rPr>
        <w:t>5. Validation and Closure</w:t>
      </w:r>
    </w:p>
    <w:p>
      <w:pPr>
        <w:ind w:left="216"/>
      </w:pPr>
      <w:r>
        <w:rPr>
          <w:b w:val="0"/>
        </w:rPr>
        <w:t>6. Coordinated Disclosure</w:t>
      </w:r>
    </w:p>
    <w:p>
      <w:pPr>
        <w:ind w:left="216"/>
      </w:pPr>
      <w:r>
        <w:rPr>
          <w:b w:val="0"/>
        </w:rPr>
        <w:t>7. Metrics and Reporting</w:t>
      </w:r>
    </w:p>
    <w:p>
      <w:r>
        <w:br w:type="page"/>
      </w:r>
    </w:p>
    <w:p>
      <w:pPr>
        <w:pStyle w:val="Heading1"/>
      </w:pPr>
      <w:r>
        <w:t>Purpose</w:t>
      </w:r>
    </w:p>
    <w:p>
      <w:r>
        <w:t>This standard defines how security findings are received, prioritized, remediated, validated, and communicated so that the organization can reduce exploitable risk without losing decision quality or auditability.</w:t>
      </w:r>
    </w:p>
    <w:p>
      <w:pPr>
        <w:pStyle w:val="Heading1"/>
      </w:pPr>
      <w:r>
        <w:t>Intake Sources</w:t>
      </w:r>
    </w:p>
    <w:p>
      <w:pPr>
        <w:pStyle w:val="ListBullet"/>
      </w:pPr>
      <w:r>
        <w:rPr>
          <w:rFonts w:ascii="Calibri" w:hAnsi="Calibri"/>
          <w:sz w:val="21"/>
        </w:rPr>
        <w:t>Internal testing, bug bounty, pentests, red team, customer reports, and responsible disclosure submissions.</w:t>
      </w:r>
    </w:p>
    <w:p>
      <w:pPr>
        <w:pStyle w:val="ListBullet"/>
      </w:pPr>
      <w:r>
        <w:rPr>
          <w:rFonts w:ascii="Calibri" w:hAnsi="Calibri"/>
          <w:sz w:val="21"/>
        </w:rPr>
        <w:t>Static, dynamic, dependency, infrastructure, container, and cloud findings.</w:t>
      </w:r>
    </w:p>
    <w:p>
      <w:pPr>
        <w:pStyle w:val="ListBullet"/>
      </w:pPr>
      <w:r>
        <w:rPr>
          <w:rFonts w:ascii="Calibri" w:hAnsi="Calibri"/>
          <w:sz w:val="21"/>
        </w:rPr>
        <w:t>Provider advisories, CVEs, SBOM intelligence, and operational monitoring signals.</w:t>
      </w:r>
    </w:p>
    <w:p>
      <w:pPr>
        <w:pStyle w:val="Heading1"/>
      </w:pPr>
      <w:r>
        <w:t>Triage and Severity</w:t>
      </w:r>
    </w:p>
    <w:p>
      <w:pPr>
        <w:pStyle w:val="ListBullet"/>
      </w:pPr>
      <w:r>
        <w:rPr>
          <w:rFonts w:ascii="Calibri" w:hAnsi="Calibri"/>
          <w:sz w:val="21"/>
        </w:rPr>
        <w:t>Assess technical severity, exploitability, business context, exposure, and compensating controls.</w:t>
      </w:r>
    </w:p>
    <w:p>
      <w:pPr>
        <w:pStyle w:val="ListBullet"/>
      </w:pPr>
      <w:r>
        <w:rPr>
          <w:rFonts w:ascii="Calibri" w:hAnsi="Calibri"/>
          <w:sz w:val="21"/>
        </w:rPr>
        <w:t>Normalize duplicate findings and link child tickets to a primary record when appropriate.</w:t>
      </w:r>
    </w:p>
    <w:p>
      <w:pPr>
        <w:pStyle w:val="ListBullet"/>
      </w:pPr>
      <w:r>
        <w:rPr>
          <w:rFonts w:ascii="Calibri" w:hAnsi="Calibri"/>
          <w:sz w:val="21"/>
        </w:rPr>
        <w:t>Escalate actively exploited, internet-exposed, privilege-escalation, or data-exfiltration findings immediately.</w:t>
      </w:r>
    </w:p>
    <w:p>
      <w:pPr>
        <w:pStyle w:val="Heading1"/>
      </w:pPr>
      <w:r>
        <w:t>Remediation Expectations</w:t>
      </w:r>
    </w:p>
    <w:p>
      <w:r>
        <w:t>Teams shall remediate or otherwise disposition findings according to severity objectives defined by the program. The record must show the owner, planned release vehicle, validation method, and whether a temporary mitigation or exception is required.</w:t>
      </w:r>
    </w:p>
    <w:p>
      <w:r>
        <w:t>If remediation cannot be completed within the target timeframe, the record must include a business-approved risk response and an expiration date.</w:t>
      </w:r>
    </w:p>
    <w:p>
      <w:pPr>
        <w:pStyle w:val="Heading1"/>
      </w:pPr>
      <w:r>
        <w:t>Validation and Closure</w:t>
      </w:r>
    </w:p>
    <w:p>
      <w:pPr>
        <w:pStyle w:val="ListNumber"/>
      </w:pPr>
      <w:r>
        <w:rPr>
          <w:rFonts w:ascii="Calibri" w:hAnsi="Calibri"/>
          <w:sz w:val="21"/>
        </w:rPr>
        <w:t>Confirm the root cause and affected scope.</w:t>
      </w:r>
    </w:p>
    <w:p>
      <w:pPr>
        <w:pStyle w:val="ListNumber"/>
      </w:pPr>
      <w:r>
        <w:rPr>
          <w:rFonts w:ascii="Calibri" w:hAnsi="Calibri"/>
          <w:sz w:val="21"/>
        </w:rPr>
        <w:t>Validate the fix in the affected environment or an equivalent evidence path.</w:t>
      </w:r>
    </w:p>
    <w:p>
      <w:pPr>
        <w:pStyle w:val="ListNumber"/>
      </w:pPr>
      <w:r>
        <w:rPr>
          <w:rFonts w:ascii="Calibri" w:hAnsi="Calibri"/>
          <w:sz w:val="21"/>
        </w:rPr>
        <w:t>Record the release or deployment that introduced the remediation.</w:t>
      </w:r>
    </w:p>
    <w:p>
      <w:pPr>
        <w:pStyle w:val="ListNumber"/>
      </w:pPr>
      <w:r>
        <w:rPr>
          <w:rFonts w:ascii="Calibri" w:hAnsi="Calibri"/>
          <w:sz w:val="21"/>
        </w:rPr>
        <w:t>Capture any required customer, legal, or partner communication outcomes.</w:t>
      </w:r>
    </w:p>
    <w:p>
      <w:pPr>
        <w:pStyle w:val="Heading1"/>
      </w:pPr>
      <w:r>
        <w:t>Coordinated Disclosure</w:t>
      </w:r>
    </w:p>
    <w:p>
      <w:pPr>
        <w:pStyle w:val="ListBullet"/>
      </w:pPr>
      <w:r>
        <w:rPr>
          <w:rFonts w:ascii="Calibri" w:hAnsi="Calibri"/>
          <w:sz w:val="21"/>
        </w:rPr>
        <w:t>Follow the company disclosure policy, legal guidance, and customer communication rules.</w:t>
      </w:r>
    </w:p>
    <w:p>
      <w:pPr>
        <w:pStyle w:val="ListBullet"/>
      </w:pPr>
      <w:r>
        <w:rPr>
          <w:rFonts w:ascii="Calibri" w:hAnsi="Calibri"/>
          <w:sz w:val="21"/>
        </w:rPr>
        <w:t>Coordinate severity, exploitability, and customer impact messaging before public disclosure.</w:t>
      </w:r>
    </w:p>
    <w:p>
      <w:pPr>
        <w:pStyle w:val="ListBullet"/>
      </w:pPr>
      <w:r>
        <w:rPr>
          <w:rFonts w:ascii="Calibri" w:hAnsi="Calibri"/>
          <w:sz w:val="21"/>
        </w:rPr>
        <w:t>Preserve a clear audit trail for who approved disclosure timing and content.</w:t>
      </w:r>
    </w:p>
    <w:p>
      <w:pPr>
        <w:pStyle w:val="Heading1"/>
      </w:pPr>
      <w:r>
        <w:t>Metrics and Reporting</w:t>
      </w:r>
    </w:p>
    <w:p>
      <w:pPr>
        <w:pStyle w:val="ListBullet"/>
      </w:pPr>
      <w:r>
        <w:rPr>
          <w:rFonts w:ascii="Calibri" w:hAnsi="Calibri"/>
          <w:sz w:val="21"/>
        </w:rPr>
        <w:t>Recommended metrics include vulnerability aging, overdue critical/high counts, reopen rate, exploit-in-the-wild exposure, and exception usage.</w:t>
      </w:r>
    </w:p>
    <w:p>
      <w:pPr>
        <w:pStyle w:val="ListBullet"/>
      </w:pPr>
      <w:r>
        <w:rPr>
          <w:rFonts w:ascii="Calibri" w:hAnsi="Calibri"/>
          <w:sz w:val="21"/>
        </w:rPr>
        <w:t>Use these metrics for management review, not as a substitute for contextual risk decisions.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152" w:bottom="1008" w:left="1152" w:header="432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5E6875"/>
        <w:sz w:val="17"/>
      </w:rPr>
      <w:t xml:space="preserve">Uncontrolled when printed  •  Page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rFonts w:ascii="Calibri" w:hAnsi="Calibri"/>
        <w:color w:val="5E6875"/>
        <w:sz w:val="17"/>
      </w:rPr>
      <w:t>PS-006  |  Vulnerability Management, Remediation, and Coordinated Disclosure Standard  |  Classification: Internal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9" w:lineRule="auto"/>
    </w:pPr>
    <w:rPr>
      <w:rFonts w:ascii="Calibri" w:hAnsi="Calibri"/>
      <w:color w:val="1F1F1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183A67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5B7FA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F1F1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83A67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Calibri" w:hAnsi="Calibri"/>
      <w:i w:val="0"/>
      <w:iCs/>
      <w:color w:val="5E687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