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936"/>
            <w:shd w:fill="183A67"/>
          </w:tcPr>
          <w:p>
            <w:pPr>
              <w:spacing w:after="40"/>
              <w:jc w:val="left"/>
            </w:pPr>
            <w:r>
              <w:rPr>
                <w:rFonts w:ascii="Calibri" w:hAnsi="Calibri"/>
                <w:b/>
                <w:color w:val="FFFFFF"/>
                <w:sz w:val="18"/>
              </w:rPr>
              <w:t>PRODUCT SECURITY POLICY TEMPLATE</w:t>
            </w:r>
          </w:p>
          <w:p>
            <w:pPr>
              <w:jc w:val="left"/>
            </w:pPr>
            <w:r>
              <w:rPr>
                <w:rFonts w:ascii="Calibri" w:hAnsi="Calibri"/>
                <w:b/>
                <w:color w:val="FFFFFF"/>
                <w:sz w:val="44"/>
              </w:rPr>
              <w:t>Release Security Gates, Approval, and Evidence Standard</w:t>
            </w:r>
          </w:p>
          <w:p>
            <w:r>
              <w:rPr>
                <w:rFonts w:ascii="Calibri" w:hAnsi="Calibri"/>
                <w:color w:val="EAF0F8"/>
                <w:sz w:val="21"/>
              </w:rPr>
              <w:t>Standard for defining minimum release security gates, approvers, evidence packs, and emergency release handling.</w:t>
            </w:r>
          </w:p>
        </w:tc>
      </w:tr>
    </w:tbl>
    <w:p/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Document ID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PS-008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Version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0.1 (starter template)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Owner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[Chief Product Security Officer / Head of Product Security]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Approved by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[Executive Risk Owner / Security Steering Committee]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Effective date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Next review date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Classification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Internal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Review cycle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At least annually, and when a material change occurs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Applies to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[Products, services, engineering teams, and supporting functions in scope]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936"/>
            <w:shd w:fill="F7F9FC"/>
          </w:tcPr>
          <w:p>
            <w:pPr>
              <w:jc w:val="left"/>
            </w:pPr>
            <w:r>
              <w:rPr>
                <w:rFonts w:ascii="Calibri" w:hAnsi="Calibri"/>
                <w:color w:val="1F1F1F"/>
                <w:sz w:val="20"/>
              </w:rPr>
              <w:t>Template note: this is an intentionally reduced starter. Replace bracketed placeholders, tailor the approval path, align terminology to your operating model, and add references to your internal standards, systems, and evidence sources.</w:t>
            </w:r>
          </w:p>
        </w:tc>
      </w:tr>
    </w:tbl>
    <w:p/>
    <w:p>
      <w:r>
        <w:br w:type="page"/>
      </w:r>
    </w:p>
    <w:p>
      <w:pPr>
        <w:pStyle w:val="Heading1"/>
      </w:pPr>
      <w:r>
        <w:t>Document Control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Document ID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PS-008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Version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0.1 (starter template)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Owner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[Chief Product Security Officer / Head of Product Security]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Approved by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[Executive Risk Owner / Security Steering Committee]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Effective date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Next review date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Classification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Internal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Review cycle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At least annually, and when a material change occurs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Applies to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[Products, services, engineering teams, and supporting functions in scope]</w:t>
            </w:r>
          </w:p>
        </w:tc>
      </w:tr>
    </w:tbl>
    <w:p/>
    <w:p>
      <w:pPr>
        <w:pStyle w:val="Heading2"/>
      </w:pPr>
      <w:r>
        <w:t>Approval Signatures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Role</w:t>
            </w:r>
          </w:p>
        </w:tc>
        <w:tc>
          <w:tcPr>
            <w:tcW w:type="dxa" w:w="2484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Name</w:t>
            </w:r>
          </w:p>
        </w:tc>
        <w:tc>
          <w:tcPr>
            <w:tcW w:type="dxa" w:w="2484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Signature</w:t>
            </w:r>
          </w:p>
        </w:tc>
        <w:tc>
          <w:tcPr>
            <w:tcW w:type="dxa" w:w="2484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Date</w:t>
            </w:r>
          </w:p>
        </w:tc>
      </w:tr>
      <w:tr>
        <w:tc>
          <w:tcPr>
            <w:tcW w:type="dxa" w:w="2484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Policy Owner</w:t>
            </w:r>
          </w:p>
        </w:tc>
        <w:tc>
          <w:tcPr>
            <w:tcW w:type="dxa" w:w="2484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[Name / Title]</w:t>
            </w:r>
          </w:p>
        </w:tc>
        <w:tc>
          <w:tcPr>
            <w:tcW w:type="dxa" w:w="2484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____________________</w:t>
            </w:r>
          </w:p>
        </w:tc>
        <w:tc>
          <w:tcPr>
            <w:tcW w:type="dxa" w:w="2484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</w:tr>
      <w:tr>
        <w:tc>
          <w:tcPr>
            <w:tcW w:type="dxa" w:w="2484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Security Leadership Approver</w:t>
            </w:r>
          </w:p>
        </w:tc>
        <w:tc>
          <w:tcPr>
            <w:tcW w:type="dxa" w:w="2484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[Name / Title]</w:t>
            </w:r>
          </w:p>
        </w:tc>
        <w:tc>
          <w:tcPr>
            <w:tcW w:type="dxa" w:w="2484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____________________</w:t>
            </w:r>
          </w:p>
        </w:tc>
        <w:tc>
          <w:tcPr>
            <w:tcW w:type="dxa" w:w="2484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</w:tr>
      <w:tr>
        <w:tc>
          <w:tcPr>
            <w:tcW w:type="dxa" w:w="2484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Engineering Leadership Approver</w:t>
            </w:r>
          </w:p>
        </w:tc>
        <w:tc>
          <w:tcPr>
            <w:tcW w:type="dxa" w:w="2484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[Name / Title]</w:t>
            </w:r>
          </w:p>
        </w:tc>
        <w:tc>
          <w:tcPr>
            <w:tcW w:type="dxa" w:w="2484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____________________</w:t>
            </w:r>
          </w:p>
        </w:tc>
        <w:tc>
          <w:tcPr>
            <w:tcW w:type="dxa" w:w="2484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</w:tr>
    </w:tbl>
    <w:p/>
    <w:p>
      <w:pPr>
        <w:pStyle w:val="Heading2"/>
      </w:pPr>
      <w:r>
        <w:t>Revision History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87"/>
        <w:gridCol w:w="1987"/>
        <w:gridCol w:w="1987"/>
        <w:gridCol w:w="1987"/>
        <w:gridCol w:w="1987"/>
      </w:tblGrid>
      <w:tr>
        <w:tc>
          <w:tcPr>
            <w:tcW w:type="dxa" w:w="1987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Version</w:t>
            </w:r>
          </w:p>
        </w:tc>
        <w:tc>
          <w:tcPr>
            <w:tcW w:type="dxa" w:w="1987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Date</w:t>
            </w:r>
          </w:p>
        </w:tc>
        <w:tc>
          <w:tcPr>
            <w:tcW w:type="dxa" w:w="1987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Summary of Change</w:t>
            </w:r>
          </w:p>
        </w:tc>
        <w:tc>
          <w:tcPr>
            <w:tcW w:type="dxa" w:w="1987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Author</w:t>
            </w:r>
          </w:p>
        </w:tc>
        <w:tc>
          <w:tcPr>
            <w:tcW w:type="dxa" w:w="1987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Approver</w:t>
            </w:r>
          </w:p>
        </w:tc>
      </w:tr>
      <w:tr>
        <w:tc>
          <w:tcPr>
            <w:tcW w:type="dxa" w:w="198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0.1</w:t>
            </w:r>
          </w:p>
        </w:tc>
        <w:tc>
          <w:tcPr>
            <w:tcW w:type="dxa" w:w="198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  <w:tc>
          <w:tcPr>
            <w:tcW w:type="dxa" w:w="1987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Template draft created</w:t>
            </w:r>
          </w:p>
        </w:tc>
        <w:tc>
          <w:tcPr>
            <w:tcW w:type="dxa" w:w="1987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[Name]</w:t>
            </w:r>
          </w:p>
        </w:tc>
        <w:tc>
          <w:tcPr>
            <w:tcW w:type="dxa" w:w="1987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[Name]</w:t>
            </w:r>
          </w:p>
        </w:tc>
      </w:tr>
      <w:tr>
        <w:tc>
          <w:tcPr>
            <w:tcW w:type="dxa" w:w="198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1.0</w:t>
            </w:r>
          </w:p>
        </w:tc>
        <w:tc>
          <w:tcPr>
            <w:tcW w:type="dxa" w:w="198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  <w:tc>
          <w:tcPr>
            <w:tcW w:type="dxa" w:w="1987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Initial approved release</w:t>
            </w:r>
          </w:p>
        </w:tc>
        <w:tc>
          <w:tcPr>
            <w:tcW w:type="dxa" w:w="1987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[Name]</w:t>
            </w:r>
          </w:p>
        </w:tc>
        <w:tc>
          <w:tcPr>
            <w:tcW w:type="dxa" w:w="1987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[Name]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ind w:left="216"/>
      </w:pPr>
      <w:r>
        <w:rPr>
          <w:b w:val="0"/>
        </w:rPr>
        <w:t>1. Purpose</w:t>
      </w:r>
    </w:p>
    <w:p>
      <w:pPr>
        <w:ind w:left="216"/>
      </w:pPr>
      <w:r>
        <w:rPr>
          <w:b w:val="0"/>
        </w:rPr>
        <w:t>2. Scope</w:t>
      </w:r>
    </w:p>
    <w:p>
      <w:pPr>
        <w:ind w:left="216"/>
      </w:pPr>
      <w:r>
        <w:rPr>
          <w:b w:val="0"/>
        </w:rPr>
        <w:t>3. Minimum Gate Categories</w:t>
      </w:r>
    </w:p>
    <w:p>
      <w:pPr>
        <w:ind w:left="216"/>
      </w:pPr>
      <w:r>
        <w:rPr>
          <w:b w:val="0"/>
        </w:rPr>
        <w:t>4. Suggested Evidence Pack</w:t>
      </w:r>
    </w:p>
    <w:p>
      <w:pPr>
        <w:ind w:left="216"/>
      </w:pPr>
      <w:r>
        <w:rPr>
          <w:b w:val="0"/>
        </w:rPr>
        <w:t>5. Approval Model</w:t>
      </w:r>
    </w:p>
    <w:p>
      <w:pPr>
        <w:ind w:left="216"/>
      </w:pPr>
      <w:r>
        <w:rPr>
          <w:b w:val="0"/>
        </w:rPr>
        <w:t>6. Post-Release Verification</w:t>
      </w:r>
    </w:p>
    <w:p>
      <w:pPr>
        <w:ind w:left="216"/>
      </w:pPr>
      <w:r>
        <w:rPr>
          <w:b w:val="0"/>
        </w:rPr>
        <w:t>7. Metrics and Continuous Improvement</w:t>
      </w:r>
    </w:p>
    <w:p>
      <w:r>
        <w:br w:type="page"/>
      </w:r>
    </w:p>
    <w:p>
      <w:pPr>
        <w:pStyle w:val="Heading1"/>
      </w:pPr>
      <w:r>
        <w:t>Purpose</w:t>
      </w:r>
    </w:p>
    <w:p>
      <w:r>
        <w:t>This standard defines the minimum security gates, decision points, and evidence expected before releasing software and infrastructure changes into production or equivalent high-impact environments.</w:t>
      </w:r>
    </w:p>
    <w:p>
      <w:pPr>
        <w:pStyle w:val="Heading1"/>
      </w:pPr>
      <w:r>
        <w:t>Scope</w:t>
      </w:r>
    </w:p>
    <w:p>
      <w:r>
        <w:t>This standard applies to application releases, platform changes, infrastructure changes, and high-risk configuration changes that affect production or other designated critical environments.</w:t>
      </w:r>
    </w:p>
    <w:p>
      <w:pPr>
        <w:pStyle w:val="Heading1"/>
      </w:pPr>
      <w:r>
        <w:t>Minimum Gate Categories</w:t>
      </w:r>
    </w:p>
    <w:p>
      <w:pPr>
        <w:pStyle w:val="ListBullet"/>
      </w:pPr>
      <w:r>
        <w:rPr>
          <w:rFonts w:ascii="Calibri" w:hAnsi="Calibri"/>
          <w:sz w:val="21"/>
        </w:rPr>
        <w:t>Change context and ownership are recorded and approved.</w:t>
      </w:r>
    </w:p>
    <w:p>
      <w:pPr>
        <w:pStyle w:val="ListBullet"/>
      </w:pPr>
      <w:r>
        <w:rPr>
          <w:rFonts w:ascii="Calibri" w:hAnsi="Calibri"/>
          <w:sz w:val="21"/>
        </w:rPr>
        <w:t>Required security requirements and review actions are complete, deferred with approval, or formally excepted.</w:t>
      </w:r>
    </w:p>
    <w:p>
      <w:pPr>
        <w:pStyle w:val="ListBullet"/>
      </w:pPr>
      <w:r>
        <w:rPr>
          <w:rFonts w:ascii="Calibri" w:hAnsi="Calibri"/>
          <w:sz w:val="21"/>
        </w:rPr>
        <w:t>Required evidence is attached or linked in the release record.</w:t>
      </w:r>
    </w:p>
    <w:p>
      <w:pPr>
        <w:pStyle w:val="ListBullet"/>
      </w:pPr>
      <w:r>
        <w:rPr>
          <w:rFonts w:ascii="Calibri" w:hAnsi="Calibri"/>
          <w:sz w:val="21"/>
        </w:rPr>
        <w:t>Known open risks above the delegated threshold are escalated before production approval.</w:t>
      </w:r>
    </w:p>
    <w:p>
      <w:pPr>
        <w:pStyle w:val="Heading1"/>
      </w:pPr>
      <w:r>
        <w:t>Suggested Evidence Pack</w:t>
      </w:r>
    </w:p>
    <w:p>
      <w:pPr>
        <w:pStyle w:val="ListBullet"/>
      </w:pPr>
      <w:r>
        <w:rPr>
          <w:rFonts w:ascii="Calibri" w:hAnsi="Calibri"/>
          <w:sz w:val="21"/>
        </w:rPr>
        <w:t>Threat model or architecture review reference when in scope.</w:t>
      </w:r>
    </w:p>
    <w:p>
      <w:pPr>
        <w:pStyle w:val="ListBullet"/>
      </w:pPr>
      <w:r>
        <w:rPr>
          <w:rFonts w:ascii="Calibri" w:hAnsi="Calibri"/>
          <w:sz w:val="21"/>
        </w:rPr>
        <w:t>Code review and CI evidence for the build being released.</w:t>
      </w:r>
    </w:p>
    <w:p>
      <w:pPr>
        <w:pStyle w:val="ListBullet"/>
      </w:pPr>
      <w:r>
        <w:rPr>
          <w:rFonts w:ascii="Calibri" w:hAnsi="Calibri"/>
          <w:sz w:val="21"/>
        </w:rPr>
        <w:t>Results of required security testing, scanning, or manual review.</w:t>
      </w:r>
    </w:p>
    <w:p>
      <w:pPr>
        <w:pStyle w:val="ListBullet"/>
      </w:pPr>
      <w:r>
        <w:rPr>
          <w:rFonts w:ascii="Calibri" w:hAnsi="Calibri"/>
          <w:sz w:val="21"/>
        </w:rPr>
        <w:t>Exception and risk-acceptance references for any unmet controls.</w:t>
      </w:r>
    </w:p>
    <w:p>
      <w:pPr>
        <w:pStyle w:val="ListBullet"/>
      </w:pPr>
      <w:r>
        <w:rPr>
          <w:rFonts w:ascii="Calibri" w:hAnsi="Calibri"/>
          <w:sz w:val="21"/>
        </w:rPr>
        <w:t>Rollback plan, monitoring plan, and ownership for post-release verification.</w:t>
      </w:r>
    </w:p>
    <w:p>
      <w:pPr>
        <w:pStyle w:val="Heading1"/>
      </w:pPr>
      <w:r>
        <w:t>Approval Model</w:t>
      </w:r>
    </w:p>
    <w:p>
      <w:pPr>
        <w:pStyle w:val="ListBullet"/>
      </w:pPr>
      <w:r>
        <w:rPr>
          <w:rFonts w:ascii="Calibri" w:hAnsi="Calibri"/>
          <w:sz w:val="21"/>
        </w:rPr>
        <w:t>Normal releases should follow the documented approver path for the release class.</w:t>
      </w:r>
    </w:p>
    <w:p>
      <w:pPr>
        <w:pStyle w:val="ListBullet"/>
      </w:pPr>
      <w:r>
        <w:rPr>
          <w:rFonts w:ascii="Calibri" w:hAnsi="Calibri"/>
          <w:sz w:val="21"/>
        </w:rPr>
        <w:t>Emergency releases may use a shortened path but still require retrospective review and evidence completion.</w:t>
      </w:r>
    </w:p>
    <w:p>
      <w:pPr>
        <w:pStyle w:val="ListBullet"/>
      </w:pPr>
      <w:r>
        <w:rPr>
          <w:rFonts w:ascii="Calibri" w:hAnsi="Calibri"/>
          <w:sz w:val="21"/>
        </w:rPr>
        <w:t>No release should rely on implied approval or undocumented verbal consent for high-risk decisions.</w:t>
      </w:r>
    </w:p>
    <w:p>
      <w:pPr>
        <w:pStyle w:val="Heading1"/>
      </w:pPr>
      <w:r>
        <w:t>Post-Release Verification</w:t>
      </w:r>
    </w:p>
    <w:p>
      <w:pPr>
        <w:pStyle w:val="ListNumber"/>
      </w:pPr>
      <w:r>
        <w:rPr>
          <w:rFonts w:ascii="Calibri" w:hAnsi="Calibri"/>
          <w:sz w:val="21"/>
        </w:rPr>
        <w:t>Confirm that the intended build and configuration are active in the target environment.</w:t>
      </w:r>
    </w:p>
    <w:p>
      <w:pPr>
        <w:pStyle w:val="ListNumber"/>
      </w:pPr>
      <w:r>
        <w:rPr>
          <w:rFonts w:ascii="Calibri" w:hAnsi="Calibri"/>
          <w:sz w:val="21"/>
        </w:rPr>
        <w:t>Review logs, alerts, and health signals for unexpected security regressions.</w:t>
      </w:r>
    </w:p>
    <w:p>
      <w:pPr>
        <w:pStyle w:val="ListNumber"/>
      </w:pPr>
      <w:r>
        <w:rPr>
          <w:rFonts w:ascii="Calibri" w:hAnsi="Calibri"/>
          <w:sz w:val="21"/>
        </w:rPr>
        <w:t>Validate closure of any temporary mitigations, monitoring steps, or follow-up actions.</w:t>
      </w:r>
    </w:p>
    <w:p>
      <w:pPr>
        <w:pStyle w:val="ListNumber"/>
      </w:pPr>
      <w:r>
        <w:rPr>
          <w:rFonts w:ascii="Calibri" w:hAnsi="Calibri"/>
          <w:sz w:val="21"/>
        </w:rPr>
        <w:t>Attach the final release evidence record to the system of record.</w:t>
      </w:r>
    </w:p>
    <w:p>
      <w:pPr>
        <w:pStyle w:val="Heading1"/>
      </w:pPr>
      <w:r>
        <w:t>Metrics and Continuous Improvement</w:t>
      </w:r>
    </w:p>
    <w:p>
      <w:pPr>
        <w:pStyle w:val="ListBullet"/>
      </w:pPr>
      <w:r>
        <w:rPr>
          <w:rFonts w:ascii="Calibri" w:hAnsi="Calibri"/>
          <w:sz w:val="21"/>
        </w:rPr>
        <w:t>Track gate bypasses, emergency releases, evidence completeness, review latency, and post-release security defects.</w:t>
      </w:r>
    </w:p>
    <w:p>
      <w:pPr>
        <w:pStyle w:val="ListBullet"/>
      </w:pPr>
      <w:r>
        <w:rPr>
          <w:rFonts w:ascii="Calibri" w:hAnsi="Calibri"/>
          <w:sz w:val="21"/>
        </w:rPr>
        <w:t>Use the results to simplify low-value gates, strengthen weak ones, and tune exceptions or approval delegations.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08" w:right="1152" w:bottom="1008" w:left="1152" w:header="432" w:footer="5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5E6875"/>
        <w:sz w:val="17"/>
      </w:rPr>
      <w:t xml:space="preserve">Uncontrolled when printed  •  Page </w:t>
    </w:r>
    <w:r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/>
    <w:r>
      <w:rPr>
        <w:rFonts w:ascii="Calibri" w:hAnsi="Calibri"/>
        <w:color w:val="5E6875"/>
        <w:sz w:val="17"/>
      </w:rPr>
      <w:t>PS-008  |  Release Security Gates, Approval, and Evidence Standard  |  Classification: Internal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69" w:lineRule="auto"/>
    </w:pPr>
    <w:rPr>
      <w:rFonts w:ascii="Calibri" w:hAnsi="Calibri"/>
      <w:color w:val="1F1F1F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 w:ascii="Calibri" w:hAnsi="Calibri"/>
      <w:b/>
      <w:bCs/>
      <w:color w:val="183A67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Calibri" w:hAnsi="Calibri"/>
      <w:b/>
      <w:bCs/>
      <w:color w:val="5B7FA8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1F1F1F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Calibri" w:hAnsi="Calibri"/>
      <w:b/>
      <w:color w:val="183A67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Calibri" w:hAnsi="Calibri"/>
      <w:i w:val="0"/>
      <w:iCs/>
      <w:color w:val="5E6875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