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Third-Party Software and Open Source Governance Standard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Standard for selecting, approving, consuming, tracking, updating, and retiring external software dependencies and services.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PS-011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PS-011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t>1. Purpose</w:t>
      </w:r>
    </w:p>
    <w:p>
      <w:pPr>
        <w:ind w:left="216"/>
      </w:pPr>
      <w:r>
        <w:t>2. Scope</w:t>
      </w:r>
    </w:p>
    <w:p>
      <w:pPr>
        <w:ind w:left="216"/>
      </w:pPr>
      <w:r>
        <w:t>3. Selection and Approval Principles</w:t>
      </w:r>
    </w:p>
    <w:p>
      <w:pPr>
        <w:ind w:left="216"/>
      </w:pPr>
      <w:r>
        <w:t>4. Minimum Governance Requirements</w:t>
      </w:r>
    </w:p>
    <w:p>
      <w:pPr>
        <w:ind w:left="216"/>
      </w:pPr>
      <w:r>
        <w:t>5. Open Source Intake and Change Control</w:t>
      </w:r>
    </w:p>
    <w:p>
      <w:pPr>
        <w:ind w:left="216"/>
      </w:pPr>
      <w:r>
        <w:t>6. Update and Removal Expectations</w:t>
      </w:r>
    </w:p>
    <w:p>
      <w:pPr>
        <w:ind w:left="216"/>
      </w:pPr>
      <w:r>
        <w:t>7. Minimum Evidence Table</w:t>
      </w:r>
    </w:p>
    <w:p>
      <w:pPr>
        <w:ind w:left="216"/>
      </w:pPr>
      <w:r>
        <w:t>8. References and Exceptions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standard defines minimum governance for third-party software, open-source components, container images, SaaS services, and externally sourced code or packages used in products or product-supporting systems.</w:t>
      </w:r>
    </w:p>
    <w:p>
      <w:pPr>
        <w:pStyle w:val="Heading1"/>
      </w:pPr>
      <w:r>
        <w:t>Scope</w:t>
      </w:r>
    </w:p>
    <w:p>
      <w:r>
        <w:t>This standard applies to libraries, frameworks, packages, build plugins, images, SDKs, agents, AI models, external services, and code copied from third-party sources into the company codebase.</w:t>
      </w:r>
    </w:p>
    <w:p>
      <w:pPr>
        <w:pStyle w:val="Heading1"/>
      </w:pPr>
      <w:r>
        <w:t>Selection and Approval Principles</w:t>
      </w:r>
    </w:p>
    <w:p>
      <w:pPr>
        <w:pStyle w:val="ListBullet"/>
      </w:pPr>
      <w:r>
        <w:rPr>
          <w:rFonts w:ascii="Calibri" w:hAnsi="Calibri"/>
          <w:sz w:val="21"/>
        </w:rPr>
        <w:t>Choose actively maintained components with acceptable license terms, security history, and support posture.</w:t>
      </w:r>
    </w:p>
    <w:p>
      <w:pPr>
        <w:pStyle w:val="ListBullet"/>
      </w:pPr>
      <w:r>
        <w:rPr>
          <w:rFonts w:ascii="Calibri" w:hAnsi="Calibri"/>
          <w:sz w:val="21"/>
        </w:rPr>
        <w:t>Prefer trusted sources, internal mirrors, or approved registries over ad hoc downloads.</w:t>
      </w:r>
    </w:p>
    <w:p>
      <w:pPr>
        <w:pStyle w:val="ListBullet"/>
      </w:pPr>
      <w:r>
        <w:rPr>
          <w:rFonts w:ascii="Calibri" w:hAnsi="Calibri"/>
          <w:sz w:val="21"/>
        </w:rPr>
        <w:t>Review high-impact additions for transitive dependency risk, maintainer trust, and operational criticality.</w:t>
      </w:r>
    </w:p>
    <w:p>
      <w:pPr>
        <w:pStyle w:val="Heading1"/>
      </w:pPr>
      <w:r>
        <w:t>Minimum Governance Requirements</w:t>
      </w:r>
    </w:p>
    <w:p>
      <w:pPr>
        <w:pStyle w:val="ListBullet"/>
      </w:pPr>
      <w:r>
        <w:rPr>
          <w:rFonts w:ascii="Calibri" w:hAnsi="Calibri"/>
          <w:sz w:val="21"/>
        </w:rPr>
        <w:t>Maintain an inventory or SBOM for releasable products and material internal services.</w:t>
      </w:r>
    </w:p>
    <w:p>
      <w:pPr>
        <w:pStyle w:val="ListBullet"/>
      </w:pPr>
      <w:r>
        <w:rPr>
          <w:rFonts w:ascii="Calibri" w:hAnsi="Calibri"/>
          <w:sz w:val="21"/>
        </w:rPr>
        <w:t>Track critical dependencies, support windows, and owners for major runtime components.</w:t>
      </w:r>
    </w:p>
    <w:p>
      <w:pPr>
        <w:pStyle w:val="ListBullet"/>
      </w:pPr>
      <w:r>
        <w:rPr>
          <w:rFonts w:ascii="Calibri" w:hAnsi="Calibri"/>
          <w:sz w:val="21"/>
        </w:rPr>
        <w:t>Monitor vulnerability advisories and maintain a defined patch or mitigation process.</w:t>
      </w:r>
    </w:p>
    <w:p>
      <w:pPr>
        <w:pStyle w:val="ListBullet"/>
      </w:pPr>
      <w:r>
        <w:rPr>
          <w:rFonts w:ascii="Calibri" w:hAnsi="Calibri"/>
          <w:sz w:val="21"/>
        </w:rPr>
        <w:t>Use provenance, signature, or integrity-verification mechanisms where supported by the ecosystem.</w:t>
      </w:r>
    </w:p>
    <w:p>
      <w:pPr>
        <w:pStyle w:val="Heading1"/>
      </w:pPr>
      <w:r>
        <w:t>Open Source Intake and Change Control</w:t>
      </w:r>
    </w:p>
    <w:p>
      <w:pPr>
        <w:pStyle w:val="ListNumber"/>
      </w:pPr>
      <w:r>
        <w:rPr>
          <w:rFonts w:ascii="Calibri" w:hAnsi="Calibri"/>
          <w:sz w:val="21"/>
        </w:rPr>
        <w:t>Request or record the business and technical need for the dependency.</w:t>
      </w:r>
    </w:p>
    <w:p>
      <w:pPr>
        <w:pStyle w:val="ListNumber"/>
      </w:pPr>
      <w:r>
        <w:rPr>
          <w:rFonts w:ascii="Calibri" w:hAnsi="Calibri"/>
          <w:sz w:val="21"/>
        </w:rPr>
        <w:t>Review source, license, security posture, and transitive impact according to defined risk tiers.</w:t>
      </w:r>
    </w:p>
    <w:p>
      <w:pPr>
        <w:pStyle w:val="ListNumber"/>
      </w:pPr>
      <w:r>
        <w:rPr>
          <w:rFonts w:ascii="Calibri" w:hAnsi="Calibri"/>
          <w:sz w:val="21"/>
        </w:rPr>
        <w:t>Approve, deny, or approve with conditions such as internal mirroring, version pinning, or sandboxing.</w:t>
      </w:r>
    </w:p>
    <w:p>
      <w:pPr>
        <w:pStyle w:val="ListNumber"/>
      </w:pPr>
      <w:r>
        <w:rPr>
          <w:rFonts w:ascii="Calibri" w:hAnsi="Calibri"/>
          <w:sz w:val="21"/>
        </w:rPr>
        <w:t>Retain the decision record and update the inventory/SBOM after adoption.</w:t>
      </w:r>
    </w:p>
    <w:p>
      <w:pPr>
        <w:pStyle w:val="Heading1"/>
      </w:pPr>
      <w:r>
        <w:t>Update and Removal Expectations</w:t>
      </w:r>
    </w:p>
    <w:p>
      <w:pPr>
        <w:pStyle w:val="ListBullet"/>
      </w:pPr>
      <w:r>
        <w:rPr>
          <w:rFonts w:ascii="Calibri" w:hAnsi="Calibri"/>
          <w:sz w:val="21"/>
        </w:rPr>
        <w:t>Do not pin insecure or unsupported versions without a time-bound exception.</w:t>
      </w:r>
    </w:p>
    <w:p>
      <w:pPr>
        <w:pStyle w:val="ListBullet"/>
      </w:pPr>
      <w:r>
        <w:rPr>
          <w:rFonts w:ascii="Calibri" w:hAnsi="Calibri"/>
          <w:sz w:val="21"/>
        </w:rPr>
        <w:t>Remove dependencies that no longer have a legitimate owner or business need.</w:t>
      </w:r>
    </w:p>
    <w:p>
      <w:pPr>
        <w:pStyle w:val="ListBullet"/>
      </w:pPr>
      <w:r>
        <w:rPr>
          <w:rFonts w:ascii="Calibri" w:hAnsi="Calibri"/>
          <w:sz w:val="21"/>
        </w:rPr>
        <w:t>Reassess critical dependencies after major maintainer, ownership, or support-model changes.</w:t>
      </w:r>
    </w:p>
    <w:p>
      <w:pPr>
        <w:pStyle w:val="Heading1"/>
      </w:pPr>
      <w:r>
        <w:t>Minimum Evidence Table</w:t>
      </w:r>
    </w:p>
    <w:p>
      <w:pPr>
        <w:pStyle w:val="Heading2"/>
      </w:pPr>
      <w:r>
        <w:t>Common records for third-party governance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Record</w:t>
            </w:r>
          </w:p>
        </w:tc>
        <w:tc>
          <w:tcPr>
            <w:tcW w:type="dxa" w:w="3312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Why it matters</w:t>
            </w:r>
          </w:p>
        </w:tc>
        <w:tc>
          <w:tcPr>
            <w:tcW w:type="dxa" w:w="3312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Typical system of record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Owner and justification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prevents orphaned components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intake ticket / dependency register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License and usage decision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reduces legal and packaging surprises</w:t>
            </w:r>
          </w:p>
        </w:tc>
        <w:tc>
          <w:tcPr>
            <w:tcW w:type="dxa" w:w="3312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8"/>
              </w:rPr>
              <w:t>OSS review record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SBOM or inventory entry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supports response and customer asks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release evidence / asset register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Patch status and exception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shows risk treatment over time</w:t>
            </w:r>
          </w:p>
        </w:tc>
        <w:tc>
          <w:tcPr>
            <w:tcW w:type="dxa" w:w="3312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8"/>
              </w:rPr>
              <w:t>vulnerability tracker</w:t>
            </w:r>
          </w:p>
        </w:tc>
      </w:tr>
    </w:tbl>
    <w:p/>
    <w:p>
      <w:pPr>
        <w:pStyle w:val="Heading1"/>
      </w:pPr>
      <w:r>
        <w:t>References and Exceptions</w:t>
      </w:r>
    </w:p>
    <w:p>
      <w:r>
        <w:t>Reference the vulnerability-management, supplier-security, and release-evidence standards. Any deviation from trusted-source, inventory, or patching requirements must follow the formal exception path.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PS-011  |  Third-Party Software and Open Source Governance Standard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