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shd w:fill="183A67"/>
          </w:tcPr>
          <w:p>
            <w:pPr>
              <w:spacing w:after="40"/>
              <w:jc w:val="left"/>
            </w:pPr>
            <w:r>
              <w:rPr>
                <w:rFonts w:ascii="Calibri" w:hAnsi="Calibri"/>
                <w:b/>
                <w:color w:val="FFFFFF"/>
                <w:sz w:val="18"/>
              </w:rPr>
              <w:t>PRODUCT SECURITY POLICY TEMPLATE</w:t>
            </w:r>
          </w:p>
          <w:p>
            <w:pPr>
              <w:jc w:val="left"/>
            </w:pPr>
            <w:r>
              <w:rPr>
                <w:rFonts w:ascii="Calibri" w:hAnsi="Calibri"/>
                <w:b/>
                <w:color w:val="FFFFFF"/>
                <w:sz w:val="44"/>
              </w:rPr>
              <w:t>Supplier Security Requirements and Secure Development Addendum</w:t>
            </w:r>
          </w:p>
          <w:p>
            <w:r>
              <w:rPr>
                <w:rFonts w:ascii="Calibri" w:hAnsi="Calibri"/>
                <w:color w:val="EAF0F8"/>
                <w:sz w:val="21"/>
              </w:rPr>
              <w:t>Template addendum for vendors and strategic suppliers covering SDL expectations, evidence, disclosure, and support obligations.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Document ID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PS-012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Version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0.1 (starter template)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Owner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[Chief Product Security Officer / Head of Product Security]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Approved by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[Executive Risk Owner / Security Steering Committee]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Effective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Next review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Classification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Internal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Review cycle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At least annually, and when a material change occurs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Applies to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[Products, services, engineering teams, and supporting functions in scope]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shd w:fill="F7F9FC"/>
          </w:tcPr>
          <w:p>
            <w:pPr>
              <w:jc w:val="left"/>
            </w:pPr>
            <w:r>
              <w:rPr>
                <w:rFonts w:ascii="Calibri" w:hAnsi="Calibri"/>
                <w:color w:val="1F1F1F"/>
                <w:sz w:val="20"/>
              </w:rPr>
              <w:t>Template note: this is an intentionally reduced starter. Replace bracketed placeholders, tailor the approval path, align terminology to your operating model, and add references to your internal standards, systems, and evidence sources.</w:t>
            </w:r>
          </w:p>
        </w:tc>
      </w:tr>
    </w:tbl>
    <w:p/>
    <w:p>
      <w:r>
        <w:br w:type="page"/>
      </w:r>
    </w:p>
    <w:p>
      <w:pPr>
        <w:pStyle w:val="Heading1"/>
      </w:pPr>
      <w:r>
        <w:t>Document Control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Document ID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PS-012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Version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0.1 (starter template)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Owner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[Chief Product Security Officer / Head of Product Security]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Approved by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[Executive Risk Owner / Security Steering Committee]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Effective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Next review date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Classification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Internal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Review cycle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At least annually, and when a material change occurs</w:t>
            </w:r>
          </w:p>
        </w:tc>
      </w:tr>
      <w:tr>
        <w:tc>
          <w:tcPr>
            <w:tcW w:type="dxa" w:w="3024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20"/>
              </w:rPr>
              <w:t>Applies to</w:t>
            </w:r>
          </w:p>
        </w:tc>
        <w:tc>
          <w:tcPr>
            <w:tcW w:type="dxa" w:w="7056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[Products, services, engineering teams, and supporting functions in scope]</w:t>
            </w:r>
          </w:p>
        </w:tc>
      </w:tr>
    </w:tbl>
    <w:p/>
    <w:p>
      <w:pPr>
        <w:pStyle w:val="Heading2"/>
      </w:pPr>
      <w:r>
        <w:t>Approval Signatures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Role</w:t>
            </w:r>
          </w:p>
        </w:tc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Name</w:t>
            </w:r>
          </w:p>
        </w:tc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Signature</w:t>
            </w:r>
          </w:p>
        </w:tc>
        <w:tc>
          <w:tcPr>
            <w:tcW w:type="dxa" w:w="2484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Date</w:t>
            </w:r>
          </w:p>
        </w:tc>
      </w:tr>
      <w:tr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Policy Owner</w:t>
            </w:r>
          </w:p>
        </w:tc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 / Title]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____________________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Security Leadership Approver</w:t>
            </w:r>
          </w:p>
        </w:tc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 / Title]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____________________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  <w:tr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Engineering Leadership Approver</w:t>
            </w:r>
          </w:p>
        </w:tc>
        <w:tc>
          <w:tcPr>
            <w:tcW w:type="dxa" w:w="2484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 / Title]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____________________</w:t>
            </w:r>
          </w:p>
        </w:tc>
        <w:tc>
          <w:tcPr>
            <w:tcW w:type="dxa" w:w="2484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</w:tr>
    </w:tbl>
    <w:p/>
    <w:p>
      <w:pPr>
        <w:pStyle w:val="Heading2"/>
      </w:pPr>
      <w: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87"/>
        <w:gridCol w:w="1987"/>
        <w:gridCol w:w="1987"/>
        <w:gridCol w:w="1987"/>
        <w:gridCol w:w="1987"/>
      </w:tblGrid>
      <w:tr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Summary of Change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1987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Approver</w:t>
            </w:r>
          </w:p>
        </w:tc>
      </w:tr>
      <w:tr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0.1</w:t>
            </w:r>
          </w:p>
        </w:tc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Template draft created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</w:tr>
      <w:tr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1.0</w:t>
            </w:r>
          </w:p>
        </w:tc>
        <w:tc>
          <w:tcPr>
            <w:tcW w:type="dxa" w:w="198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20"/>
              </w:rPr>
              <w:t>[MM/DD/YYYY]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Initial approved release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  <w:tc>
          <w:tcPr>
            <w:tcW w:type="dxa" w:w="1987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20"/>
              </w:rPr>
              <w:t>[Name]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ind w:left="216"/>
      </w:pPr>
      <w:r>
        <w:t>1. Purpose</w:t>
      </w:r>
    </w:p>
    <w:p>
      <w:pPr>
        <w:ind w:left="216"/>
      </w:pPr>
      <w:r>
        <w:t>2. When to Use It</w:t>
      </w:r>
    </w:p>
    <w:p>
      <w:pPr>
        <w:ind w:left="216"/>
      </w:pPr>
      <w:r>
        <w:t>3. Baseline Supplier Requirements</w:t>
      </w:r>
    </w:p>
    <w:p>
      <w:pPr>
        <w:ind w:left="216"/>
      </w:pPr>
      <w:r>
        <w:t>4. Evidence the Company May Request</w:t>
      </w:r>
    </w:p>
    <w:p>
      <w:pPr>
        <w:ind w:left="216"/>
      </w:pPr>
      <w:r>
        <w:t>5. Example Contractual Control Areas</w:t>
      </w:r>
    </w:p>
    <w:p>
      <w:pPr>
        <w:ind w:left="216"/>
      </w:pPr>
      <w:r>
        <w:t>6. Escalation and Enforcement</w:t>
      </w:r>
    </w:p>
    <w:p>
      <w:pPr>
        <w:ind w:left="216"/>
      </w:pPr>
      <w:r>
        <w:t>7. Tailoring Notes</w:t>
      </w:r>
    </w:p>
    <w:p>
      <w:r>
        <w:br w:type="page"/>
      </w:r>
    </w:p>
    <w:p>
      <w:pPr>
        <w:pStyle w:val="Heading1"/>
      </w:pPr>
      <w:r>
        <w:t>Purpose</w:t>
      </w:r>
    </w:p>
    <w:p>
      <w:r>
        <w:t>This template is a starter addendum for use in procurement, statement-of-work, or master-service-agreement workflows when the company needs suppliers to meet defined secure development and product-security expectations.</w:t>
      </w:r>
    </w:p>
    <w:p>
      <w:pPr>
        <w:pStyle w:val="Heading1"/>
      </w:pPr>
      <w:r>
        <w:t>When to Use It</w:t>
      </w:r>
    </w:p>
    <w:p>
      <w:pPr>
        <w:pStyle w:val="ListBullet"/>
      </w:pPr>
      <w:r>
        <w:rPr>
          <w:rFonts w:ascii="Calibri" w:hAnsi="Calibri"/>
          <w:sz w:val="21"/>
        </w:rPr>
        <w:t>Software suppliers whose products run in production or process sensitive data.</w:t>
      </w:r>
    </w:p>
    <w:p>
      <w:pPr>
        <w:pStyle w:val="ListBullet"/>
      </w:pPr>
      <w:r>
        <w:rPr>
          <w:rFonts w:ascii="Calibri" w:hAnsi="Calibri"/>
          <w:sz w:val="21"/>
        </w:rPr>
        <w:t>Strategic SaaS providers, managed service providers, and outsourced development partners.</w:t>
      </w:r>
    </w:p>
    <w:p>
      <w:pPr>
        <w:pStyle w:val="ListBullet"/>
      </w:pPr>
      <w:r>
        <w:rPr>
          <w:rFonts w:ascii="Calibri" w:hAnsi="Calibri"/>
          <w:sz w:val="21"/>
        </w:rPr>
        <w:t>Vendors delivering code, agents, SDKs, images, infrastructure modules, or privileged operational integrations.</w:t>
      </w:r>
    </w:p>
    <w:p>
      <w:pPr>
        <w:pStyle w:val="Heading1"/>
      </w:pPr>
      <w:r>
        <w:t>Baseline Supplier Requirements</w:t>
      </w:r>
    </w:p>
    <w:p>
      <w:pPr>
        <w:pStyle w:val="ListBullet"/>
      </w:pPr>
      <w:r>
        <w:rPr>
          <w:rFonts w:ascii="Calibri" w:hAnsi="Calibri"/>
          <w:sz w:val="21"/>
        </w:rPr>
        <w:t>Maintain a documented secure development lifecycle with named ownership and review cadence.</w:t>
      </w:r>
    </w:p>
    <w:p>
      <w:pPr>
        <w:pStyle w:val="ListBullet"/>
      </w:pPr>
      <w:r>
        <w:rPr>
          <w:rFonts w:ascii="Calibri" w:hAnsi="Calibri"/>
          <w:sz w:val="21"/>
        </w:rPr>
        <w:t>Use code review, vulnerability management, and supported release processes proportionate to product risk.</w:t>
      </w:r>
    </w:p>
    <w:p>
      <w:pPr>
        <w:pStyle w:val="ListBullet"/>
      </w:pPr>
      <w:r>
        <w:rPr>
          <w:rFonts w:ascii="Calibri" w:hAnsi="Calibri"/>
          <w:sz w:val="21"/>
        </w:rPr>
        <w:t>Protect build and deployment systems, secrets, and release artifacts against unauthorized modification.</w:t>
      </w:r>
    </w:p>
    <w:p>
      <w:pPr>
        <w:pStyle w:val="ListBullet"/>
      </w:pPr>
      <w:r>
        <w:rPr>
          <w:rFonts w:ascii="Calibri" w:hAnsi="Calibri"/>
          <w:sz w:val="21"/>
        </w:rPr>
        <w:t>Provide a vulnerability reporting channel and coordinated disclosure process.</w:t>
      </w:r>
    </w:p>
    <w:p>
      <w:pPr>
        <w:pStyle w:val="Heading1"/>
      </w:pPr>
      <w:r>
        <w:t>Evidence the Company May Request</w:t>
      </w:r>
    </w:p>
    <w:p>
      <w:pPr>
        <w:pStyle w:val="ListBullet"/>
      </w:pPr>
      <w:r>
        <w:rPr>
          <w:rFonts w:ascii="Calibri" w:hAnsi="Calibri"/>
          <w:sz w:val="21"/>
        </w:rPr>
        <w:t>Secure development policy or SDL overview.</w:t>
      </w:r>
    </w:p>
    <w:p>
      <w:pPr>
        <w:pStyle w:val="ListBullet"/>
      </w:pPr>
      <w:r>
        <w:rPr>
          <w:rFonts w:ascii="Calibri" w:hAnsi="Calibri"/>
          <w:sz w:val="21"/>
        </w:rPr>
        <w:t>Latest independent security assessment summary or penetration test attestation.</w:t>
      </w:r>
    </w:p>
    <w:p>
      <w:pPr>
        <w:pStyle w:val="ListBullet"/>
      </w:pPr>
      <w:r>
        <w:rPr>
          <w:rFonts w:ascii="Calibri" w:hAnsi="Calibri"/>
          <w:sz w:val="21"/>
        </w:rPr>
        <w:t>SBOM availability statement and vulnerability handling process.</w:t>
      </w:r>
    </w:p>
    <w:p>
      <w:pPr>
        <w:pStyle w:val="ListBullet"/>
      </w:pPr>
      <w:r>
        <w:rPr>
          <w:rFonts w:ascii="Calibri" w:hAnsi="Calibri"/>
          <w:sz w:val="21"/>
        </w:rPr>
        <w:t>Support window, end-of-life notice periods, and critical issue response commitments.</w:t>
      </w:r>
    </w:p>
    <w:p>
      <w:pPr>
        <w:pStyle w:val="Heading1"/>
      </w:pPr>
      <w:r>
        <w:t>Example Contractual Control Areas</w:t>
      </w:r>
    </w:p>
    <w:p>
      <w:pPr>
        <w:pStyle w:val="Heading2"/>
      </w:pPr>
      <w:r>
        <w:t>Starter control areas for supplier addenda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3312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Control area</w:t>
            </w:r>
          </w:p>
        </w:tc>
        <w:tc>
          <w:tcPr>
            <w:tcW w:type="dxa" w:w="3312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Example requirement</w:t>
            </w:r>
          </w:p>
        </w:tc>
        <w:tc>
          <w:tcPr>
            <w:tcW w:type="dxa" w:w="3312"/>
            <w:shd w:fill="183A67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8"/>
              </w:rPr>
              <w:t>Evidence / artifact</w:t>
            </w:r>
          </w:p>
        </w:tc>
      </w:tr>
      <w:tr>
        <w:tc>
          <w:tcPr>
            <w:tcW w:type="dxa" w:w="3312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18"/>
              </w:rPr>
              <w:t>Secure design</w:t>
            </w:r>
          </w:p>
        </w:tc>
        <w:tc>
          <w:tcPr>
            <w:tcW w:type="dxa" w:w="3312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18"/>
              </w:rPr>
              <w:t>major changes receive security review</w:t>
            </w:r>
          </w:p>
        </w:tc>
        <w:tc>
          <w:tcPr>
            <w:tcW w:type="dxa" w:w="3312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18"/>
              </w:rPr>
              <w:t>standard or review sample</w:t>
            </w:r>
          </w:p>
        </w:tc>
      </w:tr>
      <w:tr>
        <w:tc>
          <w:tcPr>
            <w:tcW w:type="dxa" w:w="3312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18"/>
              </w:rPr>
              <w:t>Vulnerability response</w:t>
            </w:r>
          </w:p>
        </w:tc>
        <w:tc>
          <w:tcPr>
            <w:tcW w:type="dxa" w:w="3312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18"/>
              </w:rPr>
              <w:t>critical issues handled in defined windows</w:t>
            </w:r>
          </w:p>
        </w:tc>
        <w:tc>
          <w:tcPr>
            <w:tcW w:type="dxa" w:w="3312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18"/>
              </w:rPr>
              <w:t>policy + incident examples</w:t>
            </w:r>
          </w:p>
        </w:tc>
      </w:tr>
      <w:tr>
        <w:tc>
          <w:tcPr>
            <w:tcW w:type="dxa" w:w="3312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18"/>
              </w:rPr>
              <w:t>SBOM / inventory</w:t>
            </w:r>
          </w:p>
        </w:tc>
        <w:tc>
          <w:tcPr>
            <w:tcW w:type="dxa" w:w="3312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18"/>
              </w:rPr>
              <w:t>component transparency for shipped software</w:t>
            </w:r>
          </w:p>
        </w:tc>
        <w:tc>
          <w:tcPr>
            <w:tcW w:type="dxa" w:w="3312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18"/>
              </w:rPr>
              <w:t>SBOM availability statement</w:t>
            </w:r>
          </w:p>
        </w:tc>
      </w:tr>
      <w:tr>
        <w:tc>
          <w:tcPr>
            <w:tcW w:type="dxa" w:w="3312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18"/>
              </w:rPr>
              <w:t>Access security</w:t>
            </w:r>
          </w:p>
        </w:tc>
        <w:tc>
          <w:tcPr>
            <w:tcW w:type="dxa" w:w="3312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18"/>
              </w:rPr>
              <w:t>MFA and least privilege for admin access</w:t>
            </w:r>
          </w:p>
        </w:tc>
        <w:tc>
          <w:tcPr>
            <w:tcW w:type="dxa" w:w="3312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18"/>
              </w:rPr>
              <w:t>control statement / audit excerpt</w:t>
            </w:r>
          </w:p>
        </w:tc>
      </w:tr>
      <w:tr>
        <w:tc>
          <w:tcPr>
            <w:tcW w:type="dxa" w:w="3312"/>
            <w:shd w:fill="D9E3F3"/>
            <w:vAlign w:val="center"/>
          </w:tcPr>
          <w:p>
            <w:r/>
            <w:r>
              <w:rPr>
                <w:rFonts w:ascii="Calibri" w:hAnsi="Calibri"/>
                <w:b/>
                <w:color w:val="1F1F1F"/>
                <w:sz w:val="18"/>
              </w:rPr>
              <w:t>Logging and notification</w:t>
            </w:r>
          </w:p>
        </w:tc>
        <w:tc>
          <w:tcPr>
            <w:tcW w:type="dxa" w:w="3312"/>
            <w:vAlign w:val="center"/>
          </w:tcPr>
          <w:p>
            <w:r/>
            <w:r>
              <w:rPr>
                <w:rFonts w:ascii="Calibri" w:hAnsi="Calibri"/>
                <w:b w:val="0"/>
                <w:color w:val="1F1F1F"/>
                <w:sz w:val="18"/>
              </w:rPr>
              <w:t>timely notice of incidents affecting the customer</w:t>
            </w:r>
          </w:p>
        </w:tc>
        <w:tc>
          <w:tcPr>
            <w:tcW w:type="dxa" w:w="3312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1F1F"/>
                <w:sz w:val="18"/>
              </w:rPr>
              <w:t>notification clause</w:t>
            </w:r>
          </w:p>
        </w:tc>
      </w:tr>
    </w:tbl>
    <w:p/>
    <w:p>
      <w:pPr>
        <w:pStyle w:val="Heading1"/>
      </w:pPr>
      <w:r>
        <w:t>Escalation and Enforcement</w:t>
      </w:r>
    </w:p>
    <w:p>
      <w:r>
        <w:t>The addendum should define remediation windows, breach-notification expectations, and the right to request corrective action plans when obligations are not met.</w:t>
      </w:r>
    </w:p>
    <w:p>
      <w:r>
        <w:t>Where the supplier cannot meet a requirement, the commercial owner and Product Security should decide whether compensating controls, segmentation, or alternative sourcing are required.</w:t>
      </w:r>
    </w:p>
    <w:p>
      <w:pPr>
        <w:pStyle w:val="Heading1"/>
      </w:pPr>
      <w:r>
        <w:t>Tailoring Notes</w:t>
      </w:r>
    </w:p>
    <w:p>
      <w:r>
        <w:t>Replace the starter language with the organization’s approved legal text and procurement terms. Keep the security intent intact: visible SDL ownership, evidence on request, disclosure discipline, support commitments, and a time-bound exception path.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08" w:right="1152" w:bottom="1008" w:left="1152" w:header="432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5E6875"/>
        <w:sz w:val="17"/>
      </w:rPr>
      <w:t xml:space="preserve">Uncontrolled when printed  •  Page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/>
    <w:r>
      <w:rPr>
        <w:rFonts w:ascii="Calibri" w:hAnsi="Calibri"/>
        <w:color w:val="5E6875"/>
        <w:sz w:val="17"/>
      </w:rPr>
      <w:t>PS-012  |  Supplier Security Requirements and Secure Development Addendum  |  Classification: Internal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9" w:lineRule="auto"/>
    </w:pPr>
    <w:rPr>
      <w:rFonts w:ascii="Calibri" w:hAnsi="Calibri"/>
      <w:color w:val="1F1F1F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183A67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5B7FA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F1F1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183A67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Calibri" w:hAnsi="Calibri"/>
      <w:i/>
      <w:iCs/>
      <w:color w:val="5E687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