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KBTitle"/>
        <w:spacing w:after="40"/>
      </w:pPr>
      <w:r>
        <w:rPr>
          <w:i w:val="0"/>
        </w:rPr>
        <w:t>PS-018 — Logical Access, Access Provisioning, and Privileged Access Standard</w:t>
      </w:r>
    </w:p>
    <w:p>
      <w:pPr>
        <w:spacing w:after="240"/>
      </w:pPr>
      <w:r>
        <w:rPr>
          <w:i/>
          <w:color w:val="5A5A5A"/>
          <w:sz w:val="20"/>
        </w:rPr>
        <w:t>SOC 2-focused Product Security template skeleton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EAF3FF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b/>
              </w:rPr>
              <w:t xml:space="preserve">Template intent: </w:t>
            </w:r>
            <w:r>
              <w:t>Provide a compact controlled-document skeleton for access control, provisioning, privileged-access oversight, and review evidence in product-facing systems.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Document ID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PS-018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[Product Security / Control Owner]</w:t>
            </w:r>
          </w:p>
        </w:tc>
      </w:tr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0.1 draft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Classification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Internal</w:t>
            </w:r>
          </w:p>
        </w:tc>
      </w:tr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Effective date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[YYYY-MM-DD]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Review cadence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Annual or on material change</w:t>
            </w:r>
          </w:p>
        </w:tc>
      </w:tr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Approved by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[Security leadership / delegated approver]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Evidence systems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[ticketing, wiki, CI, SIEM, CMDB]</w:t>
            </w:r>
          </w:p>
        </w:tc>
      </w:tr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Related standards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[SOC 2 CC-series / internal standards]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Exceptions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[link to exception process]</w:t>
            </w:r>
          </w:p>
        </w:tc>
      </w:tr>
    </w:tbl>
    <w:p>
      <w:pPr>
        <w:pStyle w:val="KBHeading1"/>
        <w:spacing w:after="120"/>
      </w:pPr>
      <w:r>
        <w:rPr>
          <w:i w:val="0"/>
        </w:rPr>
        <w:t>Suggested chapter skeleton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shd w:fill="0F2E4E"/>
          </w:tcPr>
          <w:p>
            <w:r>
              <w:rPr>
                <w:b/>
                <w:color w:val="FFFFFF"/>
              </w:rPr>
              <w:t>Section</w:t>
            </w:r>
          </w:p>
        </w:tc>
        <w:tc>
          <w:tcPr>
            <w:tcW w:type="dxa" w:w="4968"/>
            <w:shd w:fill="0F2E4E"/>
          </w:tcPr>
          <w:p>
            <w:r>
              <w:rPr>
                <w:b/>
                <w:color w:val="FFFFFF"/>
              </w:rPr>
              <w:t>Why it matters</w:t>
            </w:r>
          </w:p>
        </w:tc>
      </w:tr>
      <w:tr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1. Purpose and scope</w:t>
            </w:r>
          </w:p>
        </w:tc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Defines the logical-access controls that support trustworthy provisioning and privileged-access oversight.</w:t>
            </w:r>
          </w:p>
        </w:tc>
      </w:tr>
      <w:tr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2. Control requirements</w:t>
            </w:r>
          </w:p>
        </w:tc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Documents the core control set an auditor expects to see.</w:t>
            </w:r>
          </w:p>
        </w:tc>
      </w:tr>
      <w:tr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3. Evidence and records</w:t>
            </w:r>
          </w:p>
        </w:tc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Shows what should exist when this control is operating well.</w:t>
            </w:r>
          </w:p>
        </w:tc>
      </w:tr>
      <w:tr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4. Exceptions and compensating controls</w:t>
            </w:r>
          </w:p>
        </w:tc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Explains how deviations are managed instead of ignored.</w:t>
            </w:r>
          </w:p>
        </w:tc>
      </w:tr>
    </w:tbl>
    <w:p>
      <w:pPr>
        <w:pStyle w:val="KBHeading1"/>
        <w:spacing w:after="120"/>
      </w:pPr>
      <w:r>
        <w:rPr>
          <w:i w:val="0"/>
        </w:rPr>
        <w:t>1. Purpose and scope</w:t>
      </w:r>
    </w:p>
    <w:p>
      <w:pPr>
        <w:spacing w:after="120"/>
      </w:pPr>
      <w:r>
        <w:rPr>
          <w:i w:val="0"/>
        </w:rPr>
        <w:t>This standard defines the minimum control expectations for granting, changing, reviewing, and removing logical access to source-control systems, CI/CD, cloud accounts, container platforms, secrets stores, artifact repositories, and production support interfaces used by product teams.</w:t>
      </w:r>
    </w:p>
    <w:p>
      <w:pPr>
        <w:pStyle w:val="ListBullet"/>
        <w:spacing w:after="40"/>
      </w:pPr>
      <w:r>
        <w:t>Access is role-based and time-bounded wherever practical.</w:t>
      </w:r>
    </w:p>
    <w:p>
      <w:pPr>
        <w:pStyle w:val="ListBullet"/>
        <w:spacing w:after="40"/>
      </w:pPr>
      <w:r>
        <w:t>Privileged access requires stronger approval, logging, and review than standard developer access.</w:t>
      </w:r>
    </w:p>
    <w:p>
      <w:pPr>
        <w:pStyle w:val="ListBullet"/>
        <w:spacing w:after="40"/>
      </w:pPr>
      <w:r>
        <w:t>Access changes must be evidenced in a system of record.</w:t>
      </w:r>
    </w:p>
    <w:p>
      <w:pPr>
        <w:pStyle w:val="ListBullet"/>
        <w:spacing w:after="40"/>
      </w:pPr>
      <w:r>
        <w:t>Joiner / mover / leaver handling must remove stale permissions quickly.</w:t>
      </w:r>
    </w:p>
    <w:p>
      <w:pPr>
        <w:pStyle w:val="KBHeading1"/>
        <w:spacing w:after="120"/>
      </w:pPr>
      <w:r>
        <w:rPr>
          <w:i w:val="0"/>
        </w:rPr>
        <w:t>2. Control requirements</w:t>
      </w:r>
    </w:p>
    <w:p>
      <w:pPr>
        <w:pStyle w:val="ListBullet"/>
        <w:spacing w:after="40"/>
      </w:pPr>
      <w:r>
        <w:t>Provisioning requires requester, business justification, approver, and effective date.</w:t>
      </w:r>
    </w:p>
    <w:p>
      <w:pPr>
        <w:pStyle w:val="ListBullet"/>
        <w:spacing w:after="40"/>
      </w:pPr>
      <w:r>
        <w:t>Privilege elevation requires separate approval from the control owner or delegated approver.</w:t>
      </w:r>
    </w:p>
    <w:p>
      <w:pPr>
        <w:pStyle w:val="ListBullet"/>
        <w:spacing w:after="40"/>
      </w:pPr>
      <w:r>
        <w:t>All shared, emergency, or break-glass identities are strongly discouraged and must be logged and reviewed.</w:t>
      </w:r>
    </w:p>
    <w:p>
      <w:pPr>
        <w:pStyle w:val="ListBullet"/>
        <w:spacing w:after="40"/>
      </w:pPr>
      <w:r>
        <w:t>Quarterly access reviews must include privileged groups, dormant identities, service accounts, and standing administrator paths.</w:t>
      </w:r>
    </w:p>
    <w:p>
      <w:pPr>
        <w:pStyle w:val="ListBullet"/>
        <w:spacing w:after="40"/>
      </w:pPr>
      <w:r>
        <w:t>Access removal must be triggered by role change, departure, project closure, or inactivity thresholds.</w:t>
      </w:r>
    </w:p>
    <w:p>
      <w:pPr>
        <w:pStyle w:val="KBHeading1"/>
        <w:spacing w:after="120"/>
      </w:pPr>
      <w:r>
        <w:rPr>
          <w:i w:val="0"/>
        </w:rPr>
        <w:t>3. Evidence and records</w:t>
      </w:r>
    </w:p>
    <w:p>
      <w:pPr>
        <w:pStyle w:val="ListBullet"/>
        <w:spacing w:after="40"/>
      </w:pPr>
      <w:r>
        <w:t>Provisioning tickets and approval records</w:t>
      </w:r>
    </w:p>
    <w:p>
      <w:pPr>
        <w:pStyle w:val="ListBullet"/>
        <w:spacing w:after="40"/>
      </w:pPr>
      <w:r>
        <w:t>Export of active role/group membership for key systems</w:t>
      </w:r>
    </w:p>
    <w:p>
      <w:pPr>
        <w:pStyle w:val="ListBullet"/>
        <w:spacing w:after="40"/>
      </w:pPr>
      <w:r>
        <w:t>Privileged session or command logging where available</w:t>
      </w:r>
    </w:p>
    <w:p>
      <w:pPr>
        <w:pStyle w:val="ListBullet"/>
        <w:spacing w:after="40"/>
      </w:pPr>
      <w:r>
        <w:t>Quarterly recertification evidence and remediation actions</w:t>
      </w:r>
    </w:p>
    <w:p>
      <w:pPr>
        <w:pStyle w:val="ListBullet"/>
        <w:spacing w:after="40"/>
      </w:pPr>
      <w:r>
        <w:t>Exception approvals for emergency or temporary access</w:t>
      </w:r>
    </w:p>
    <w:p>
      <w:pPr>
        <w:pStyle w:val="KBHeading1"/>
        <w:spacing w:after="120"/>
      </w:pPr>
      <w:r>
        <w:rPr>
          <w:i w:val="0"/>
        </w:rPr>
        <w:t>4. Exceptions and compensating controls</w:t>
      </w:r>
    </w:p>
    <w:p>
      <w:pPr>
        <w:spacing w:after="120"/>
      </w:pPr>
      <w:r>
        <w:rPr>
          <w:i w:val="0"/>
        </w:rPr>
        <w:t>Any deviation from role-based provisioning, privileged logging, or access-review cadence must be documented through the exception process. The exception record should identify residual risk, duration, compensating controls, and accountable owner.</w:t>
      </w:r>
    </w:p>
    <w:p>
      <w:pPr>
        <w:pStyle w:val="KBHeading1"/>
        <w:spacing w:after="120"/>
      </w:pPr>
      <w:r>
        <w:rPr>
          <w:i w:val="0"/>
        </w:rPr>
        <w:t>Approval and revision record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shd w:fill="0F2E4E"/>
          </w:tcPr>
          <w:p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2484"/>
            <w:shd w:fill="0F2E4E"/>
          </w:tcPr>
          <w:p>
            <w:r>
              <w:rPr>
                <w:b/>
                <w:color w:val="FFFFFF"/>
              </w:rPr>
              <w:t>Date</w:t>
            </w:r>
          </w:p>
        </w:tc>
        <w:tc>
          <w:tcPr>
            <w:tcW w:type="dxa" w:w="2484"/>
            <w:shd w:fill="0F2E4E"/>
          </w:tcPr>
          <w:p>
            <w:r>
              <w:rPr>
                <w:b/>
                <w:color w:val="FFFFFF"/>
              </w:rPr>
              <w:t>Author / approver</w:t>
            </w:r>
          </w:p>
        </w:tc>
        <w:tc>
          <w:tcPr>
            <w:tcW w:type="dxa" w:w="2484"/>
            <w:shd w:fill="0F2E4E"/>
          </w:tcPr>
          <w:p>
            <w:r>
              <w:rPr>
                <w:b/>
                <w:color w:val="FFFFFF"/>
              </w:rPr>
              <w:t>Change summary</w:t>
            </w:r>
          </w:p>
        </w:tc>
      </w:tr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0.1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[YYYY-MM-DD]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[Name]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Initial illustrative skeleton</w:t>
            </w:r>
          </w:p>
        </w:tc>
      </w:tr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</w:tr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 xml:space="preserve">Ivan Piskunov (c) — Illustrative template for adaptation by the organization — Page </w:t>
    </w:r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sz w:val="16"/>
      </w:rPr>
      <w:t>Product Security Controlled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KBTitle">
    <w:name w:val="KB Title"/>
    <w:basedOn w:val="Title"/>
    <w:rPr>
      <w:rFonts w:ascii="Aptos Display" w:hAnsi="Aptos Display"/>
      <w:b/>
      <w:color w:val="0F2E4E"/>
      <w:sz w:val="44"/>
    </w:rPr>
  </w:style>
  <w:style w:type="paragraph" w:customStyle="1" w:styleId="KBHeading1">
    <w:name w:val="KB Heading 1"/>
    <w:basedOn w:val="Heading1"/>
    <w:rPr>
      <w:rFonts w:ascii="Aptos" w:hAnsi="Aptos"/>
      <w:b/>
      <w:color w:val="0F2E4E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