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KBTitle"/>
        <w:spacing w:after="40"/>
      </w:pPr>
      <w:r>
        <w:rPr>
          <w:i w:val="0"/>
        </w:rPr>
        <w:t>PS-019 — Secure Change Management, Release Approval, and Evidence Standard</w:t>
      </w:r>
    </w:p>
    <w:p>
      <w:pPr>
        <w:spacing w:after="240"/>
      </w:pPr>
      <w:r>
        <w:rPr>
          <w:i/>
          <w:color w:val="5A5A5A"/>
          <w:sz w:val="20"/>
        </w:rPr>
        <w:t>SOC 2-focused Product Security template skeleton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AF3FF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b/>
              </w:rPr>
              <w:t xml:space="preserve">Template intent: </w:t>
            </w:r>
            <w:r>
              <w:t>Provide a controlled template for secure change management, release approvals, and evidence retention across the software delivery path.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Document ID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PS-019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[Product Security / Control Owner]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0.1 draft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Internal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Effective date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[YYYY-MM-DD]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Review cadence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Annual or on material change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Approved by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[Security leadership / delegated approver]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Evidence systems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[ticketing, wiki, CI, SIEM, CMDB]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Related standards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[SOC 2 CC-series / internal standards]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  <w:shd w:fill="DCE6F1"/>
          </w:tcPr>
          <w:p>
            <w:r>
              <w:rPr>
                <w:b/>
              </w:rPr>
              <w:t>Exceptions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r>
              <w:t>[link to exception process]</w:t>
            </w:r>
          </w:p>
        </w:tc>
      </w:tr>
    </w:tbl>
    <w:p>
      <w:pPr>
        <w:pStyle w:val="KBHeading1"/>
        <w:spacing w:after="120"/>
      </w:pPr>
      <w:r>
        <w:rPr>
          <w:i w:val="0"/>
        </w:rPr>
        <w:t>Suggested chapter skeleton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0F2E4E"/>
          </w:tcPr>
          <w:p>
            <w:r>
              <w:rPr>
                <w:b/>
                <w:color w:val="FFFFFF"/>
              </w:rPr>
              <w:t>Section</w:t>
            </w:r>
          </w:p>
        </w:tc>
        <w:tc>
          <w:tcPr>
            <w:tcW w:type="dxa" w:w="4968"/>
            <w:shd w:fill="0F2E4E"/>
          </w:tcPr>
          <w:p>
            <w:r>
              <w:rPr>
                <w:b/>
                <w:color w:val="FFFFFF"/>
              </w:rPr>
              <w:t>Why it matters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1. Purpose and scope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Defines how secure change management operates for code, infrastructure, and release actions.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2. Change classes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Separates routine work from higher-risk changes.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3. Required controls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Captures the minimum control set for auditors and engineering leaders.</w:t>
            </w:r>
          </w:p>
        </w:tc>
      </w:tr>
      <w:tr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4. Evidence expectations</w:t>
            </w:r>
          </w:p>
        </w:tc>
        <w:tc>
          <w:tcPr>
            <w:tcW w:type="dxa" w:w="496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Lists artifacts commonly sampled during audits.</w:t>
            </w:r>
          </w:p>
        </w:tc>
      </w:tr>
    </w:tbl>
    <w:p>
      <w:pPr>
        <w:pStyle w:val="KBHeading1"/>
        <w:spacing w:after="120"/>
      </w:pPr>
      <w:r>
        <w:rPr>
          <w:i w:val="0"/>
        </w:rPr>
        <w:t>1. Purpose and scope</w:t>
      </w:r>
    </w:p>
    <w:p>
      <w:pPr>
        <w:spacing w:after="120"/>
      </w:pPr>
      <w:r>
        <w:rPr>
          <w:i w:val="0"/>
        </w:rPr>
        <w:t>This standard applies to software changes, infrastructure-as-code changes, platform configuration changes, release approvals, emergency changes, and the evidence retained to show that changes were authorized, tested, reviewed, and deployed through approved paths.</w:t>
      </w:r>
    </w:p>
    <w:p>
      <w:pPr>
        <w:pStyle w:val="ListBullet"/>
        <w:spacing w:after="40"/>
      </w:pPr>
      <w:r>
        <w:t>No direct production changes outside documented break-glass procedures.</w:t>
      </w:r>
    </w:p>
    <w:p>
      <w:pPr>
        <w:pStyle w:val="ListBullet"/>
        <w:spacing w:after="40"/>
      </w:pPr>
      <w:r>
        <w:t>Normal changes flow through pull-request review and approved deployment mechanisms.</w:t>
      </w:r>
    </w:p>
    <w:p>
      <w:pPr>
        <w:pStyle w:val="ListBullet"/>
        <w:spacing w:after="40"/>
      </w:pPr>
      <w:r>
        <w:t>Release approval is tied to explicit evidence, not verbal assurance.</w:t>
      </w:r>
    </w:p>
    <w:p>
      <w:pPr>
        <w:pStyle w:val="ListBullet"/>
        <w:spacing w:after="40"/>
      </w:pPr>
      <w:r>
        <w:t>Emergency changes are allowed only with documented follow-up review.</w:t>
      </w:r>
    </w:p>
    <w:p>
      <w:pPr>
        <w:pStyle w:val="KBHeading1"/>
        <w:spacing w:after="120"/>
      </w:pPr>
      <w:r>
        <w:rPr>
          <w:i w:val="0"/>
        </w:rPr>
        <w:t>2. Change classes</w:t>
      </w:r>
    </w:p>
    <w:p>
      <w:pPr>
        <w:pStyle w:val="ListBullet"/>
        <w:spacing w:after="40"/>
      </w:pPr>
      <w:r>
        <w:t>Standard change: pre-approved low-risk repeatable activity with documented runbook.</w:t>
      </w:r>
    </w:p>
    <w:p>
      <w:pPr>
        <w:pStyle w:val="ListBullet"/>
        <w:spacing w:after="40"/>
      </w:pPr>
      <w:r>
        <w:t>Normal change: reviewed, tested, and approved change using the standard delivery path.</w:t>
      </w:r>
    </w:p>
    <w:p>
      <w:pPr>
        <w:pStyle w:val="ListBullet"/>
        <w:spacing w:after="40"/>
      </w:pPr>
      <w:r>
        <w:t>Emergency change: urgent production-impacting change that requires post-implementation review and retrospective evidence completion.</w:t>
      </w:r>
    </w:p>
    <w:p>
      <w:pPr>
        <w:pStyle w:val="KBHeading1"/>
        <w:spacing w:after="120"/>
      </w:pPr>
      <w:r>
        <w:rPr>
          <w:i w:val="0"/>
        </w:rPr>
        <w:t>3. Required controls</w:t>
      </w:r>
    </w:p>
    <w:p>
      <w:pPr>
        <w:pStyle w:val="ListBullet"/>
        <w:spacing w:after="40"/>
      </w:pPr>
      <w:r>
        <w:t>Code changes require peer review and protected-branch controls.</w:t>
      </w:r>
    </w:p>
    <w:p>
      <w:pPr>
        <w:pStyle w:val="ListBullet"/>
        <w:spacing w:after="40"/>
      </w:pPr>
      <w:r>
        <w:t>Build and deployment jobs run under managed identities with least privilege.</w:t>
      </w:r>
    </w:p>
    <w:p>
      <w:pPr>
        <w:pStyle w:val="ListBullet"/>
        <w:spacing w:after="40"/>
      </w:pPr>
      <w:r>
        <w:t>Release decisions reference test status, security gates, deployment approvals, and rollback readiness.</w:t>
      </w:r>
    </w:p>
    <w:p>
      <w:pPr>
        <w:pStyle w:val="ListBullet"/>
        <w:spacing w:after="40"/>
      </w:pPr>
      <w:r>
        <w:t>Production deployments must retain timestamps, actor identity, artifact version, environment target, and approver evidence.</w:t>
      </w:r>
    </w:p>
    <w:p>
      <w:pPr>
        <w:pStyle w:val="KBHeading1"/>
        <w:spacing w:after="120"/>
      </w:pPr>
      <w:r>
        <w:rPr>
          <w:i w:val="0"/>
        </w:rPr>
        <w:t>4. Evidence expectations</w:t>
      </w:r>
    </w:p>
    <w:p>
      <w:pPr>
        <w:pStyle w:val="ListBullet"/>
        <w:spacing w:after="40"/>
      </w:pPr>
      <w:r>
        <w:t>PR/MR with linked ticket and reviewer approvals</w:t>
      </w:r>
    </w:p>
    <w:p>
      <w:pPr>
        <w:pStyle w:val="ListBullet"/>
        <w:spacing w:after="40"/>
      </w:pPr>
      <w:r>
        <w:t>CI logs showing successful build, tests, and policy gates</w:t>
      </w:r>
    </w:p>
    <w:p>
      <w:pPr>
        <w:pStyle w:val="ListBullet"/>
        <w:spacing w:after="40"/>
      </w:pPr>
      <w:r>
        <w:t>Immutable deployment records showing artifact digest and environment promotion</w:t>
      </w:r>
    </w:p>
    <w:p>
      <w:pPr>
        <w:pStyle w:val="ListBullet"/>
        <w:spacing w:after="40"/>
      </w:pPr>
      <w:r>
        <w:t>Post-change validation or rollback evidence</w:t>
      </w:r>
    </w:p>
    <w:p>
      <w:pPr>
        <w:pStyle w:val="ListBullet"/>
        <w:spacing w:after="40"/>
      </w:pPr>
      <w:r>
        <w:t>Emergency-change review and closure documentation</w:t>
      </w:r>
    </w:p>
    <w:p>
      <w:pPr>
        <w:pStyle w:val="KBHeading1"/>
        <w:spacing w:after="120"/>
      </w:pPr>
      <w:r>
        <w:rPr>
          <w:i w:val="0"/>
        </w:rPr>
        <w:t>Approval and revision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Author / approver</w:t>
            </w:r>
          </w:p>
        </w:tc>
        <w:tc>
          <w:tcPr>
            <w:tcW w:type="dxa" w:w="2484"/>
            <w:shd w:fill="0F2E4E"/>
          </w:tcPr>
          <w:p>
            <w:r>
              <w:rPr>
                <w:b/>
                <w:color w:val="FFFFFF"/>
              </w:rPr>
              <w:t>Change summary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0.1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[YYYY-MM-DD]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[Name]</w:t>
            </w:r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Initial illustrative skeleton</w:t>
            </w:r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</w:tr>
      <w:tr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  <w:tc>
          <w:tcPr>
            <w:tcW w:type="dxa" w:w="248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/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 xml:space="preserve">Ivan Piskunov (c) — Illustrative template for adaptation by the organization — Page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sz w:val="16"/>
      </w:rPr>
      <w:t>Product Security Controlled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BTitle">
    <w:name w:val="KB Title"/>
    <w:basedOn w:val="Title"/>
    <w:rPr>
      <w:rFonts w:ascii="Aptos Display" w:hAnsi="Aptos Display"/>
      <w:b/>
      <w:color w:val="0F2E4E"/>
      <w:sz w:val="44"/>
    </w:rPr>
  </w:style>
  <w:style w:type="paragraph" w:customStyle="1" w:styleId="KBHeading1">
    <w:name w:val="KB Heading 1"/>
    <w:basedOn w:val="Heading1"/>
    <w:rPr>
      <w:rFonts w:ascii="Aptos" w:hAnsi="Aptos"/>
      <w:b/>
      <w:color w:val="0F2E4E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