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KBTitle"/>
        <w:spacing w:after="40"/>
      </w:pPr>
      <w:r>
        <w:rPr>
          <w:i w:val="0"/>
        </w:rPr>
        <w:t>PS-020 — Vulnerability Management, Patch Cadence, and Exception Evidence Standard</w:t>
      </w:r>
    </w:p>
    <w:p>
      <w:pPr>
        <w:spacing w:after="240"/>
      </w:pPr>
      <w:r>
        <w:rPr>
          <w:i/>
          <w:color w:val="5A5A5A"/>
          <w:sz w:val="20"/>
        </w:rPr>
        <w:t>SOC 2-focused Product Security template skeleton</w:t>
      </w:r>
    </w:p>
    <w:tbl>
      <w:tblPr>
        <w:tblW w:type="auto" w:w="0"/>
        <w:tblLook w:firstColumn="1" w:firstRow="1" w:lastColumn="0" w:lastRow="0" w:noHBand="0" w:noVBand="1" w:val="04A0"/>
      </w:tblPr>
      <w:tblGrid>
        <w:gridCol w:w="9936"/>
      </w:tblGrid>
      <w:tr>
        <w:tc>
          <w:tcPr>
            <w:tcW w:type="dxa" w:w="9936"/>
            <w:shd w:fill="EAF3FF"/>
            <w:tcMar>
              <w:top w:w="80" w:type="dxa"/>
              <w:start w:w="80" w:type="dxa"/>
              <w:bottom w:w="80" w:type="dxa"/>
              <w:end w:w="80" w:type="dxa"/>
            </w:tcMar>
          </w:tcPr>
          <w:p>
            <w:r>
              <w:rPr>
                <w:b/>
              </w:rPr>
              <w:t xml:space="preserve">Template intent: </w:t>
            </w:r>
            <w:r>
              <w:t>Provide a reusable policy skeleton for findings intake, remediation SLAs, patch handling, and exception governance.</w:t>
            </w:r>
          </w:p>
        </w:tc>
      </w:tr>
    </w:tbl>
    <w:tbl>
      <w:tblPr>
        <w:tblStyle w:val="TableGrid"/>
        <w:tblW w:type="auto" w:w="0"/>
        <w:tblLook w:firstColumn="1" w:firstRow="1" w:lastColumn="0" w:lastRow="0" w:noHBand="0" w:noVBand="1" w:val="04A0"/>
      </w:tblPr>
      <w:tblGrid>
        <w:gridCol w:w="2484"/>
        <w:gridCol w:w="2484"/>
        <w:gridCol w:w="2484"/>
        <w:gridCol w:w="2484"/>
      </w:tblGrid>
      <w:tr>
        <w:tc>
          <w:tcPr>
            <w:tcW w:type="dxa" w:w="2484"/>
            <w:tcMar>
              <w:top w:w="80" w:type="dxa"/>
              <w:start w:w="80" w:type="dxa"/>
              <w:bottom w:w="80" w:type="dxa"/>
              <w:end w:w="80" w:type="dxa"/>
            </w:tcMar>
            <w:vAlign w:val="center"/>
            <w:shd w:fill="DCE6F1"/>
          </w:tcPr>
          <w:p>
            <w:r>
              <w:rPr>
                <w:b/>
              </w:rPr>
              <w:t>Document ID</w:t>
            </w:r>
          </w:p>
        </w:tc>
        <w:tc>
          <w:tcPr>
            <w:tcW w:type="dxa" w:w="2484"/>
            <w:tcMar>
              <w:top w:w="80" w:type="dxa"/>
              <w:start w:w="80" w:type="dxa"/>
              <w:bottom w:w="80" w:type="dxa"/>
              <w:end w:w="80" w:type="dxa"/>
            </w:tcMar>
            <w:vAlign w:val="center"/>
          </w:tcPr>
          <w:p>
            <w:r>
              <w:t>PS-020</w:t>
            </w:r>
          </w:p>
        </w:tc>
        <w:tc>
          <w:tcPr>
            <w:tcW w:type="dxa" w:w="2484"/>
            <w:tcMar>
              <w:top w:w="80" w:type="dxa"/>
              <w:start w:w="80" w:type="dxa"/>
              <w:bottom w:w="80" w:type="dxa"/>
              <w:end w:w="80" w:type="dxa"/>
            </w:tcMar>
            <w:vAlign w:val="center"/>
            <w:shd w:fill="DCE6F1"/>
          </w:tcPr>
          <w:p>
            <w:r>
              <w:rPr>
                <w:b/>
              </w:rPr>
              <w:t>Owner</w:t>
            </w:r>
          </w:p>
        </w:tc>
        <w:tc>
          <w:tcPr>
            <w:tcW w:type="dxa" w:w="2484"/>
            <w:tcMar>
              <w:top w:w="80" w:type="dxa"/>
              <w:start w:w="80" w:type="dxa"/>
              <w:bottom w:w="80" w:type="dxa"/>
              <w:end w:w="80" w:type="dxa"/>
            </w:tcMar>
            <w:vAlign w:val="center"/>
          </w:tcPr>
          <w:p>
            <w:r>
              <w:t>[Product Security / Control Owner]</w:t>
            </w:r>
          </w:p>
        </w:tc>
      </w:tr>
      <w:tr>
        <w:tc>
          <w:tcPr>
            <w:tcW w:type="dxa" w:w="2484"/>
            <w:tcMar>
              <w:top w:w="80" w:type="dxa"/>
              <w:start w:w="80" w:type="dxa"/>
              <w:bottom w:w="80" w:type="dxa"/>
              <w:end w:w="80" w:type="dxa"/>
            </w:tcMar>
            <w:vAlign w:val="center"/>
            <w:shd w:fill="DCE6F1"/>
          </w:tcPr>
          <w:p>
            <w:r>
              <w:rPr>
                <w:b/>
              </w:rPr>
              <w:t>Version</w:t>
            </w:r>
          </w:p>
        </w:tc>
        <w:tc>
          <w:tcPr>
            <w:tcW w:type="dxa" w:w="2484"/>
            <w:tcMar>
              <w:top w:w="80" w:type="dxa"/>
              <w:start w:w="80" w:type="dxa"/>
              <w:bottom w:w="80" w:type="dxa"/>
              <w:end w:w="80" w:type="dxa"/>
            </w:tcMar>
            <w:vAlign w:val="center"/>
          </w:tcPr>
          <w:p>
            <w:r>
              <w:t>0.1 draft</w:t>
            </w:r>
          </w:p>
        </w:tc>
        <w:tc>
          <w:tcPr>
            <w:tcW w:type="dxa" w:w="2484"/>
            <w:tcMar>
              <w:top w:w="80" w:type="dxa"/>
              <w:start w:w="80" w:type="dxa"/>
              <w:bottom w:w="80" w:type="dxa"/>
              <w:end w:w="80" w:type="dxa"/>
            </w:tcMar>
            <w:vAlign w:val="center"/>
            <w:shd w:fill="DCE6F1"/>
          </w:tcPr>
          <w:p>
            <w:r>
              <w:rPr>
                <w:b/>
              </w:rPr>
              <w:t>Classification</w:t>
            </w:r>
          </w:p>
        </w:tc>
        <w:tc>
          <w:tcPr>
            <w:tcW w:type="dxa" w:w="2484"/>
            <w:tcMar>
              <w:top w:w="80" w:type="dxa"/>
              <w:start w:w="80" w:type="dxa"/>
              <w:bottom w:w="80" w:type="dxa"/>
              <w:end w:w="80" w:type="dxa"/>
            </w:tcMar>
            <w:vAlign w:val="center"/>
          </w:tcPr>
          <w:p>
            <w:r>
              <w:t>Internal</w:t>
            </w:r>
          </w:p>
        </w:tc>
      </w:tr>
      <w:tr>
        <w:tc>
          <w:tcPr>
            <w:tcW w:type="dxa" w:w="2484"/>
            <w:tcMar>
              <w:top w:w="80" w:type="dxa"/>
              <w:start w:w="80" w:type="dxa"/>
              <w:bottom w:w="80" w:type="dxa"/>
              <w:end w:w="80" w:type="dxa"/>
            </w:tcMar>
            <w:vAlign w:val="center"/>
            <w:shd w:fill="DCE6F1"/>
          </w:tcPr>
          <w:p>
            <w:r>
              <w:rPr>
                <w:b/>
              </w:rPr>
              <w:t>Effective date</w:t>
            </w:r>
          </w:p>
        </w:tc>
        <w:tc>
          <w:tcPr>
            <w:tcW w:type="dxa" w:w="2484"/>
            <w:tcMar>
              <w:top w:w="80" w:type="dxa"/>
              <w:start w:w="80" w:type="dxa"/>
              <w:bottom w:w="80" w:type="dxa"/>
              <w:end w:w="80" w:type="dxa"/>
            </w:tcMar>
            <w:vAlign w:val="center"/>
          </w:tcPr>
          <w:p>
            <w:r>
              <w:t>[YYYY-MM-DD]</w:t>
            </w:r>
          </w:p>
        </w:tc>
        <w:tc>
          <w:tcPr>
            <w:tcW w:type="dxa" w:w="2484"/>
            <w:tcMar>
              <w:top w:w="80" w:type="dxa"/>
              <w:start w:w="80" w:type="dxa"/>
              <w:bottom w:w="80" w:type="dxa"/>
              <w:end w:w="80" w:type="dxa"/>
            </w:tcMar>
            <w:vAlign w:val="center"/>
            <w:shd w:fill="DCE6F1"/>
          </w:tcPr>
          <w:p>
            <w:r>
              <w:rPr>
                <w:b/>
              </w:rPr>
              <w:t>Review cadence</w:t>
            </w:r>
          </w:p>
        </w:tc>
        <w:tc>
          <w:tcPr>
            <w:tcW w:type="dxa" w:w="2484"/>
            <w:tcMar>
              <w:top w:w="80" w:type="dxa"/>
              <w:start w:w="80" w:type="dxa"/>
              <w:bottom w:w="80" w:type="dxa"/>
              <w:end w:w="80" w:type="dxa"/>
            </w:tcMar>
            <w:vAlign w:val="center"/>
          </w:tcPr>
          <w:p>
            <w:r>
              <w:t>Annual or on material change</w:t>
            </w:r>
          </w:p>
        </w:tc>
      </w:tr>
      <w:tr>
        <w:tc>
          <w:tcPr>
            <w:tcW w:type="dxa" w:w="2484"/>
            <w:tcMar>
              <w:top w:w="80" w:type="dxa"/>
              <w:start w:w="80" w:type="dxa"/>
              <w:bottom w:w="80" w:type="dxa"/>
              <w:end w:w="80" w:type="dxa"/>
            </w:tcMar>
            <w:vAlign w:val="center"/>
            <w:shd w:fill="DCE6F1"/>
          </w:tcPr>
          <w:p>
            <w:r>
              <w:rPr>
                <w:b/>
              </w:rPr>
              <w:t>Approved by</w:t>
            </w:r>
          </w:p>
        </w:tc>
        <w:tc>
          <w:tcPr>
            <w:tcW w:type="dxa" w:w="2484"/>
            <w:tcMar>
              <w:top w:w="80" w:type="dxa"/>
              <w:start w:w="80" w:type="dxa"/>
              <w:bottom w:w="80" w:type="dxa"/>
              <w:end w:w="80" w:type="dxa"/>
            </w:tcMar>
            <w:vAlign w:val="center"/>
          </w:tcPr>
          <w:p>
            <w:r>
              <w:t>[Security leadership / delegated approver]</w:t>
            </w:r>
          </w:p>
        </w:tc>
        <w:tc>
          <w:tcPr>
            <w:tcW w:type="dxa" w:w="2484"/>
            <w:tcMar>
              <w:top w:w="80" w:type="dxa"/>
              <w:start w:w="80" w:type="dxa"/>
              <w:bottom w:w="80" w:type="dxa"/>
              <w:end w:w="80" w:type="dxa"/>
            </w:tcMar>
            <w:vAlign w:val="center"/>
            <w:shd w:fill="DCE6F1"/>
          </w:tcPr>
          <w:p>
            <w:r>
              <w:rPr>
                <w:b/>
              </w:rPr>
              <w:t>Evidence systems</w:t>
            </w:r>
          </w:p>
        </w:tc>
        <w:tc>
          <w:tcPr>
            <w:tcW w:type="dxa" w:w="2484"/>
            <w:tcMar>
              <w:top w:w="80" w:type="dxa"/>
              <w:start w:w="80" w:type="dxa"/>
              <w:bottom w:w="80" w:type="dxa"/>
              <w:end w:w="80" w:type="dxa"/>
            </w:tcMar>
            <w:vAlign w:val="center"/>
          </w:tcPr>
          <w:p>
            <w:r>
              <w:t>[ticketing, wiki, CI, SIEM, CMDB]</w:t>
            </w:r>
          </w:p>
        </w:tc>
      </w:tr>
      <w:tr>
        <w:tc>
          <w:tcPr>
            <w:tcW w:type="dxa" w:w="2484"/>
            <w:tcMar>
              <w:top w:w="80" w:type="dxa"/>
              <w:start w:w="80" w:type="dxa"/>
              <w:bottom w:w="80" w:type="dxa"/>
              <w:end w:w="80" w:type="dxa"/>
            </w:tcMar>
            <w:vAlign w:val="center"/>
            <w:shd w:fill="DCE6F1"/>
          </w:tcPr>
          <w:p>
            <w:r>
              <w:rPr>
                <w:b/>
              </w:rPr>
              <w:t>Related standards</w:t>
            </w:r>
          </w:p>
        </w:tc>
        <w:tc>
          <w:tcPr>
            <w:tcW w:type="dxa" w:w="2484"/>
            <w:tcMar>
              <w:top w:w="80" w:type="dxa"/>
              <w:start w:w="80" w:type="dxa"/>
              <w:bottom w:w="80" w:type="dxa"/>
              <w:end w:w="80" w:type="dxa"/>
            </w:tcMar>
            <w:vAlign w:val="center"/>
          </w:tcPr>
          <w:p>
            <w:r>
              <w:t>[SOC 2 CC-series / internal standards]</w:t>
            </w:r>
          </w:p>
        </w:tc>
        <w:tc>
          <w:tcPr>
            <w:tcW w:type="dxa" w:w="2484"/>
            <w:tcMar>
              <w:top w:w="80" w:type="dxa"/>
              <w:start w:w="80" w:type="dxa"/>
              <w:bottom w:w="80" w:type="dxa"/>
              <w:end w:w="80" w:type="dxa"/>
            </w:tcMar>
            <w:vAlign w:val="center"/>
            <w:shd w:fill="DCE6F1"/>
          </w:tcPr>
          <w:p>
            <w:r>
              <w:rPr>
                <w:b/>
              </w:rPr>
              <w:t>Exceptions</w:t>
            </w:r>
          </w:p>
        </w:tc>
        <w:tc>
          <w:tcPr>
            <w:tcW w:type="dxa" w:w="2484"/>
            <w:tcMar>
              <w:top w:w="80" w:type="dxa"/>
              <w:start w:w="80" w:type="dxa"/>
              <w:bottom w:w="80" w:type="dxa"/>
              <w:end w:w="80" w:type="dxa"/>
            </w:tcMar>
            <w:vAlign w:val="center"/>
          </w:tcPr>
          <w:p>
            <w:r>
              <w:t>[link to exception process]</w:t>
            </w:r>
          </w:p>
        </w:tc>
      </w:tr>
    </w:tbl>
    <w:p>
      <w:pPr>
        <w:pStyle w:val="KBHeading1"/>
        <w:spacing w:after="120"/>
      </w:pPr>
      <w:r>
        <w:rPr>
          <w:i w:val="0"/>
        </w:rPr>
        <w:t>Suggested chapter skeleton</w:t>
      </w:r>
    </w:p>
    <w:tbl>
      <w:tblPr>
        <w:tblStyle w:val="TableGrid"/>
        <w:tblW w:type="auto" w:w="0"/>
        <w:tblLook w:firstColumn="1" w:firstRow="1" w:lastColumn="0" w:lastRow="0" w:noHBand="0" w:noVBand="1" w:val="04A0"/>
      </w:tblPr>
      <w:tblGrid>
        <w:gridCol w:w="4968"/>
        <w:gridCol w:w="4968"/>
      </w:tblGrid>
      <w:tr>
        <w:tc>
          <w:tcPr>
            <w:tcW w:type="dxa" w:w="4968"/>
            <w:shd w:fill="0F2E4E"/>
          </w:tcPr>
          <w:p>
            <w:r>
              <w:rPr>
                <w:b/>
                <w:color w:val="FFFFFF"/>
              </w:rPr>
              <w:t>Section</w:t>
            </w:r>
          </w:p>
        </w:tc>
        <w:tc>
          <w:tcPr>
            <w:tcW w:type="dxa" w:w="4968"/>
            <w:shd w:fill="0F2E4E"/>
          </w:tcPr>
          <w:p>
            <w:r>
              <w:rPr>
                <w:b/>
                <w:color w:val="FFFFFF"/>
              </w:rPr>
              <w:t>Why it matters</w:t>
            </w:r>
          </w:p>
        </w:tc>
      </w:tr>
      <w:tr>
        <w:tc>
          <w:tcPr>
            <w:tcW w:type="dxa" w:w="4968"/>
            <w:tcMar>
              <w:top w:w="80" w:type="dxa"/>
              <w:start w:w="80" w:type="dxa"/>
              <w:bottom w:w="80" w:type="dxa"/>
              <w:end w:w="80" w:type="dxa"/>
            </w:tcMar>
          </w:tcPr>
          <w:p>
            <w:r>
              <w:t>1. Purpose and scope</w:t>
            </w:r>
          </w:p>
        </w:tc>
        <w:tc>
          <w:tcPr>
            <w:tcW w:type="dxa" w:w="4968"/>
            <w:tcMar>
              <w:top w:w="80" w:type="dxa"/>
              <w:start w:w="80" w:type="dxa"/>
              <w:bottom w:w="80" w:type="dxa"/>
              <w:end w:w="80" w:type="dxa"/>
            </w:tcMar>
          </w:tcPr>
          <w:p>
            <w:r>
              <w:t>Defines how vulnerabilities, patches, and exceptions are governed across products and platforms.</w:t>
            </w:r>
          </w:p>
        </w:tc>
      </w:tr>
      <w:tr>
        <w:tc>
          <w:tcPr>
            <w:tcW w:type="dxa" w:w="4968"/>
            <w:tcMar>
              <w:top w:w="80" w:type="dxa"/>
              <w:start w:w="80" w:type="dxa"/>
              <w:bottom w:w="80" w:type="dxa"/>
              <w:end w:w="80" w:type="dxa"/>
            </w:tcMar>
          </w:tcPr>
          <w:p>
            <w:r>
              <w:t>2. SLA model</w:t>
            </w:r>
          </w:p>
        </w:tc>
        <w:tc>
          <w:tcPr>
            <w:tcW w:type="dxa" w:w="4968"/>
            <w:tcMar>
              <w:top w:w="80" w:type="dxa"/>
              <w:start w:w="80" w:type="dxa"/>
              <w:bottom w:w="80" w:type="dxa"/>
              <w:end w:w="80" w:type="dxa"/>
            </w:tcMar>
          </w:tcPr>
          <w:p>
            <w:r>
              <w:t>Provides a sample policy shape that teams can adapt.</w:t>
            </w:r>
          </w:p>
        </w:tc>
      </w:tr>
      <w:tr>
        <w:tc>
          <w:tcPr>
            <w:tcW w:type="dxa" w:w="4968"/>
            <w:tcMar>
              <w:top w:w="80" w:type="dxa"/>
              <w:start w:w="80" w:type="dxa"/>
              <w:bottom w:w="80" w:type="dxa"/>
              <w:end w:w="80" w:type="dxa"/>
            </w:tcMar>
          </w:tcPr>
          <w:p>
            <w:r>
              <w:t>3. Patch and exception evidence</w:t>
            </w:r>
          </w:p>
        </w:tc>
        <w:tc>
          <w:tcPr>
            <w:tcW w:type="dxa" w:w="4968"/>
            <w:tcMar>
              <w:top w:w="80" w:type="dxa"/>
              <w:start w:w="80" w:type="dxa"/>
              <w:bottom w:w="80" w:type="dxa"/>
              <w:end w:w="80" w:type="dxa"/>
            </w:tcMar>
          </w:tcPr>
          <w:p>
            <w:r>
              <w:t>Shows what “good” evidence looks like.</w:t>
            </w:r>
          </w:p>
        </w:tc>
      </w:tr>
      <w:tr>
        <w:tc>
          <w:tcPr>
            <w:tcW w:type="dxa" w:w="4968"/>
            <w:tcMar>
              <w:top w:w="80" w:type="dxa"/>
              <w:start w:w="80" w:type="dxa"/>
              <w:bottom w:w="80" w:type="dxa"/>
              <w:end w:w="80" w:type="dxa"/>
            </w:tcMar>
          </w:tcPr>
          <w:p>
            <w:r>
              <w:t>4. Governance and reporting</w:t>
            </w:r>
          </w:p>
        </w:tc>
        <w:tc>
          <w:tcPr>
            <w:tcW w:type="dxa" w:w="4968"/>
            <w:tcMar>
              <w:top w:w="80" w:type="dxa"/>
              <w:start w:w="80" w:type="dxa"/>
              <w:bottom w:w="80" w:type="dxa"/>
              <w:end w:w="80" w:type="dxa"/>
            </w:tcMar>
          </w:tcPr>
          <w:p>
            <w:r>
              <w:t>Explains how the process remains healthy over time.</w:t>
            </w:r>
          </w:p>
        </w:tc>
      </w:tr>
    </w:tbl>
    <w:p>
      <w:pPr>
        <w:pStyle w:val="KBHeading1"/>
        <w:spacing w:after="120"/>
      </w:pPr>
      <w:r>
        <w:rPr>
          <w:i w:val="0"/>
        </w:rPr>
        <w:t>1. Purpose and scope</w:t>
      </w:r>
    </w:p>
    <w:p>
      <w:pPr>
        <w:spacing w:after="120"/>
      </w:pPr>
      <w:r>
        <w:rPr>
          <w:i w:val="0"/>
        </w:rPr>
        <w:t>This standard establishes the minimum workflow for vulnerability intake, severity determination, contextual prioritization, remediation deadlines, patch deployment, risk acceptance, and evidence retention for internally found and externally reported weaknesses.</w:t>
      </w:r>
    </w:p>
    <w:p>
      <w:pPr>
        <w:pStyle w:val="ListBullet"/>
        <w:spacing w:after="40"/>
      </w:pPr>
      <w:r>
        <w:t>Inventory and ownership are required before remediation can be governed.</w:t>
      </w:r>
    </w:p>
    <w:p>
      <w:pPr>
        <w:pStyle w:val="ListBullet"/>
        <w:spacing w:after="40"/>
      </w:pPr>
      <w:r>
        <w:t>Severity alone is not enough; exposure, exploitability, asset value, and environment matter.</w:t>
      </w:r>
    </w:p>
    <w:p>
      <w:pPr>
        <w:pStyle w:val="ListBullet"/>
        <w:spacing w:after="40"/>
      </w:pPr>
      <w:r>
        <w:t>Overdue remediation and repeated exceptions require escalation.</w:t>
      </w:r>
    </w:p>
    <w:p>
      <w:pPr>
        <w:pStyle w:val="KBHeading1"/>
        <w:spacing w:after="120"/>
      </w:pPr>
      <w:r>
        <w:rPr>
          <w:i w:val="0"/>
        </w:rPr>
        <w:t>2. SLA model</w:t>
      </w:r>
    </w:p>
    <w:p>
      <w:pPr>
        <w:pStyle w:val="ListBullet"/>
        <w:spacing w:after="40"/>
      </w:pPr>
      <w:r>
        <w:t>Critical: remediate or contain within 7 calendar days.</w:t>
      </w:r>
    </w:p>
    <w:p>
      <w:pPr>
        <w:pStyle w:val="ListBullet"/>
        <w:spacing w:after="40"/>
      </w:pPr>
      <w:r>
        <w:t>High: remediate within 30 calendar days.</w:t>
      </w:r>
    </w:p>
    <w:p>
      <w:pPr>
        <w:pStyle w:val="ListBullet"/>
        <w:spacing w:after="40"/>
      </w:pPr>
      <w:r>
        <w:t>Medium: remediate within 90 calendar days unless accepted with rationale.</w:t>
      </w:r>
    </w:p>
    <w:p>
      <w:pPr>
        <w:pStyle w:val="ListBullet"/>
        <w:spacing w:after="40"/>
      </w:pPr>
      <w:r>
        <w:t>Low: remediate in normal backlog unless elevated by context.</w:t>
      </w:r>
    </w:p>
    <w:p>
      <w:pPr>
        <w:spacing w:after="120"/>
      </w:pPr>
      <w:r>
        <w:rPr>
          <w:i w:val="0"/>
        </w:rPr>
        <w:t>The actual ranges should be tailored to business tolerance, exposure, and product type.</w:t>
      </w:r>
    </w:p>
    <w:p>
      <w:pPr>
        <w:pStyle w:val="KBHeading1"/>
        <w:spacing w:after="120"/>
      </w:pPr>
      <w:r>
        <w:rPr>
          <w:i w:val="0"/>
        </w:rPr>
        <w:t>3. Patch and exception evidence</w:t>
      </w:r>
    </w:p>
    <w:p>
      <w:pPr>
        <w:pStyle w:val="ListBullet"/>
        <w:spacing w:after="40"/>
      </w:pPr>
      <w:r>
        <w:t>Scanner or report evidence with affected versions</w:t>
      </w:r>
    </w:p>
    <w:p>
      <w:pPr>
        <w:pStyle w:val="ListBullet"/>
        <w:spacing w:after="40"/>
      </w:pPr>
      <w:r>
        <w:t>Ticket or work item showing accountable owner and due date</w:t>
      </w:r>
    </w:p>
    <w:p>
      <w:pPr>
        <w:pStyle w:val="ListBullet"/>
        <w:spacing w:after="40"/>
      </w:pPr>
      <w:r>
        <w:t>Patch or configuration change evidence tied to deployment history</w:t>
      </w:r>
    </w:p>
    <w:p>
      <w:pPr>
        <w:pStyle w:val="ListBullet"/>
        <w:spacing w:after="40"/>
      </w:pPr>
      <w:r>
        <w:t>If no fix exists, documented containment and risk acceptance</w:t>
      </w:r>
    </w:p>
    <w:p>
      <w:pPr>
        <w:pStyle w:val="ListBullet"/>
        <w:spacing w:after="40"/>
      </w:pPr>
      <w:r>
        <w:t>Validation showing the issue no longer reproduces or is no longer exposed</w:t>
      </w:r>
    </w:p>
    <w:p>
      <w:pPr>
        <w:pStyle w:val="KBHeading1"/>
        <w:spacing w:after="120"/>
      </w:pPr>
      <w:r>
        <w:rPr>
          <w:i w:val="0"/>
        </w:rPr>
        <w:t>4. Governance and reporting</w:t>
      </w:r>
    </w:p>
    <w:p>
      <w:pPr>
        <w:spacing w:after="120"/>
      </w:pPr>
      <w:r>
        <w:rPr>
          <w:i w:val="0"/>
        </w:rPr>
        <w:t>Program reporting should include finding aging, SLA attainment, exception debt, recurring classes of weakness, and materially exposed unresolved issues. Leadership review should focus on trends and blockers rather than raw counts alone.</w:t>
      </w:r>
    </w:p>
    <w:p>
      <w:pPr>
        <w:pStyle w:val="KBHeading1"/>
        <w:spacing w:after="120"/>
      </w:pPr>
      <w:r>
        <w:rPr>
          <w:i w:val="0"/>
        </w:rPr>
        <w:t>Approval and revision record</w:t>
      </w:r>
    </w:p>
    <w:tbl>
      <w:tblPr>
        <w:tblStyle w:val="TableGrid"/>
        <w:tblW w:type="auto" w:w="0"/>
        <w:tblLook w:firstColumn="1" w:firstRow="1" w:lastColumn="0" w:lastRow="0" w:noHBand="0" w:noVBand="1" w:val="04A0"/>
      </w:tblPr>
      <w:tblGrid>
        <w:gridCol w:w="2484"/>
        <w:gridCol w:w="2484"/>
        <w:gridCol w:w="2484"/>
        <w:gridCol w:w="2484"/>
      </w:tblGrid>
      <w:tr>
        <w:tc>
          <w:tcPr>
            <w:tcW w:type="dxa" w:w="2484"/>
            <w:shd w:fill="0F2E4E"/>
          </w:tcPr>
          <w:p>
            <w:r>
              <w:rPr>
                <w:b/>
                <w:color w:val="FFFFFF"/>
              </w:rPr>
              <w:t>Version</w:t>
            </w:r>
          </w:p>
        </w:tc>
        <w:tc>
          <w:tcPr>
            <w:tcW w:type="dxa" w:w="2484"/>
            <w:shd w:fill="0F2E4E"/>
          </w:tcPr>
          <w:p>
            <w:r>
              <w:rPr>
                <w:b/>
                <w:color w:val="FFFFFF"/>
              </w:rPr>
              <w:t>Date</w:t>
            </w:r>
          </w:p>
        </w:tc>
        <w:tc>
          <w:tcPr>
            <w:tcW w:type="dxa" w:w="2484"/>
            <w:shd w:fill="0F2E4E"/>
          </w:tcPr>
          <w:p>
            <w:r>
              <w:rPr>
                <w:b/>
                <w:color w:val="FFFFFF"/>
              </w:rPr>
              <w:t>Author / approver</w:t>
            </w:r>
          </w:p>
        </w:tc>
        <w:tc>
          <w:tcPr>
            <w:tcW w:type="dxa" w:w="2484"/>
            <w:shd w:fill="0F2E4E"/>
          </w:tcPr>
          <w:p>
            <w:r>
              <w:rPr>
                <w:b/>
                <w:color w:val="FFFFFF"/>
              </w:rPr>
              <w:t>Change summary</w:t>
            </w:r>
          </w:p>
        </w:tc>
      </w:tr>
      <w:tr>
        <w:tc>
          <w:tcPr>
            <w:tcW w:type="dxa" w:w="2484"/>
            <w:tcMar>
              <w:top w:w="80" w:type="dxa"/>
              <w:start w:w="80" w:type="dxa"/>
              <w:bottom w:w="80" w:type="dxa"/>
              <w:end w:w="80" w:type="dxa"/>
            </w:tcMar>
          </w:tcPr>
          <w:p>
            <w:r>
              <w:t>0.1</w:t>
            </w:r>
          </w:p>
        </w:tc>
        <w:tc>
          <w:tcPr>
            <w:tcW w:type="dxa" w:w="2484"/>
            <w:tcMar>
              <w:top w:w="80" w:type="dxa"/>
              <w:start w:w="80" w:type="dxa"/>
              <w:bottom w:w="80" w:type="dxa"/>
              <w:end w:w="80" w:type="dxa"/>
            </w:tcMar>
          </w:tcPr>
          <w:p>
            <w:r>
              <w:t>[YYYY-MM-DD]</w:t>
            </w:r>
          </w:p>
        </w:tc>
        <w:tc>
          <w:tcPr>
            <w:tcW w:type="dxa" w:w="2484"/>
            <w:tcMar>
              <w:top w:w="80" w:type="dxa"/>
              <w:start w:w="80" w:type="dxa"/>
              <w:bottom w:w="80" w:type="dxa"/>
              <w:end w:w="80" w:type="dxa"/>
            </w:tcMar>
          </w:tcPr>
          <w:p>
            <w:r>
              <w:t>[Name]</w:t>
            </w:r>
          </w:p>
        </w:tc>
        <w:tc>
          <w:tcPr>
            <w:tcW w:type="dxa" w:w="2484"/>
            <w:tcMar>
              <w:top w:w="80" w:type="dxa"/>
              <w:start w:w="80" w:type="dxa"/>
              <w:bottom w:w="80" w:type="dxa"/>
              <w:end w:w="80" w:type="dxa"/>
            </w:tcMar>
          </w:tcPr>
          <w:p>
            <w:r>
              <w:t>Initial illustrative skeleton</w:t>
            </w:r>
          </w:p>
        </w:tc>
      </w:tr>
      <w:tr>
        <w:tc>
          <w:tcPr>
            <w:tcW w:type="dxa" w:w="2484"/>
            <w:tcMar>
              <w:top w:w="80" w:type="dxa"/>
              <w:start w:w="80" w:type="dxa"/>
              <w:bottom w:w="80" w:type="dxa"/>
              <w:end w:w="80" w:type="dxa"/>
            </w:tcMar>
          </w:tcPr>
          <w:p>
            <w:r/>
          </w:p>
        </w:tc>
        <w:tc>
          <w:tcPr>
            <w:tcW w:type="dxa" w:w="2484"/>
            <w:tcMar>
              <w:top w:w="80" w:type="dxa"/>
              <w:start w:w="80" w:type="dxa"/>
              <w:bottom w:w="80" w:type="dxa"/>
              <w:end w:w="80" w:type="dxa"/>
            </w:tcMar>
          </w:tcPr>
          <w:p>
            <w:r/>
          </w:p>
        </w:tc>
        <w:tc>
          <w:tcPr>
            <w:tcW w:type="dxa" w:w="2484"/>
            <w:tcMar>
              <w:top w:w="80" w:type="dxa"/>
              <w:start w:w="80" w:type="dxa"/>
              <w:bottom w:w="80" w:type="dxa"/>
              <w:end w:w="80" w:type="dxa"/>
            </w:tcMar>
          </w:tcPr>
          <w:p>
            <w:r/>
          </w:p>
        </w:tc>
        <w:tc>
          <w:tcPr>
            <w:tcW w:type="dxa" w:w="2484"/>
            <w:tcMar>
              <w:top w:w="80" w:type="dxa"/>
              <w:start w:w="80" w:type="dxa"/>
              <w:bottom w:w="80" w:type="dxa"/>
              <w:end w:w="80" w:type="dxa"/>
            </w:tcMar>
          </w:tcPr>
          <w:p>
            <w:r/>
          </w:p>
        </w:tc>
      </w:tr>
      <w:tr>
        <w:tc>
          <w:tcPr>
            <w:tcW w:type="dxa" w:w="2484"/>
            <w:tcMar>
              <w:top w:w="80" w:type="dxa"/>
              <w:start w:w="80" w:type="dxa"/>
              <w:bottom w:w="80" w:type="dxa"/>
              <w:end w:w="80" w:type="dxa"/>
            </w:tcMar>
          </w:tcPr>
          <w:p>
            <w:r/>
          </w:p>
        </w:tc>
        <w:tc>
          <w:tcPr>
            <w:tcW w:type="dxa" w:w="2484"/>
            <w:tcMar>
              <w:top w:w="80" w:type="dxa"/>
              <w:start w:w="80" w:type="dxa"/>
              <w:bottom w:w="80" w:type="dxa"/>
              <w:end w:w="80" w:type="dxa"/>
            </w:tcMar>
          </w:tcPr>
          <w:p>
            <w:r/>
          </w:p>
        </w:tc>
        <w:tc>
          <w:tcPr>
            <w:tcW w:type="dxa" w:w="2484"/>
            <w:tcMar>
              <w:top w:w="80" w:type="dxa"/>
              <w:start w:w="80" w:type="dxa"/>
              <w:bottom w:w="80" w:type="dxa"/>
              <w:end w:w="80" w:type="dxa"/>
            </w:tcMar>
          </w:tcPr>
          <w:p>
            <w:r/>
          </w:p>
        </w:tc>
        <w:tc>
          <w:tcPr>
            <w:tcW w:type="dxa" w:w="2484"/>
            <w:tcMar>
              <w:top w:w="80" w:type="dxa"/>
              <w:start w:w="80" w:type="dxa"/>
              <w:bottom w:w="80" w:type="dxa"/>
              <w:end w:w="80" w:type="dxa"/>
            </w:tcMar>
          </w:tcPr>
          <w:p>
            <w:r/>
          </w:p>
        </w:tc>
      </w:tr>
    </w:tbl>
    <w:sectPr w:rsidR="00FC693F" w:rsidRPr="0006063C" w:rsidSect="00034616">
      <w:headerReference w:type="default" r:id="rId9"/>
      <w:footerReference w:type="default" r:id="rId10"/>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sz w:val="16"/>
      </w:rPr>
      <w:t xml:space="preserve">Ivan Piskunov (c) — Illustrative template for adaptation by the organization — Page </w:t>
    </w:r>
    <w:fldSimple w:instr="PAGE"/>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sz w:val="16"/>
      </w:rPr>
      <w:t>Product Security Controlled Template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KBTitle">
    <w:name w:val="KB Title"/>
    <w:basedOn w:val="Title"/>
    <w:rPr>
      <w:rFonts w:ascii="Aptos Display" w:hAnsi="Aptos Display"/>
      <w:b/>
      <w:color w:val="0F2E4E"/>
      <w:sz w:val="44"/>
    </w:rPr>
  </w:style>
  <w:style w:type="paragraph" w:customStyle="1" w:styleId="KBHeading1">
    <w:name w:val="KB Heading 1"/>
    <w:basedOn w:val="Heading1"/>
    <w:rPr>
      <w:rFonts w:ascii="Aptos" w:hAnsi="Aptos"/>
      <w:b/>
      <w:color w:val="0F2E4E"/>
      <w:sz w:val="3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