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KBTitle"/>
        <w:spacing w:after="40"/>
      </w:pPr>
      <w:r>
        <w:rPr>
          <w:i w:val="0"/>
        </w:rPr>
        <w:t>PS-021 — Logging, Monitoring, and Incident Evidence Retention Standard</w:t>
      </w:r>
    </w:p>
    <w:p>
      <w:pPr>
        <w:spacing w:after="240"/>
      </w:pPr>
      <w:r>
        <w:rPr>
          <w:i/>
          <w:color w:val="5A5A5A"/>
          <w:sz w:val="20"/>
        </w:rPr>
        <w:t>SOC 2-focused Product Security template skeleton</w:t>
      </w:r>
    </w:p>
    <w:tbl>
      <w:tblPr>
        <w:tblW w:type="auto" w:w="0"/>
        <w:tblLook w:firstColumn="1" w:firstRow="1" w:lastColumn="0" w:lastRow="0" w:noHBand="0" w:noVBand="1" w:val="04A0"/>
      </w:tblPr>
      <w:tblGrid>
        <w:gridCol w:w="9936"/>
      </w:tblGrid>
      <w:tr>
        <w:tc>
          <w:tcPr>
            <w:tcW w:type="dxa" w:w="9936"/>
            <w:shd w:fill="EAF3FF"/>
            <w:tcMar>
              <w:top w:w="80" w:type="dxa"/>
              <w:start w:w="80" w:type="dxa"/>
              <w:bottom w:w="80" w:type="dxa"/>
              <w:end w:w="80" w:type="dxa"/>
            </w:tcMar>
          </w:tcPr>
          <w:p>
            <w:r>
              <w:rPr>
                <w:b/>
              </w:rPr>
              <w:t xml:space="preserve">Template intent: </w:t>
            </w:r>
            <w:r>
              <w:t>Provide a template for security telemetry expectations, immutable evidence handling, and retention requirements that support investigations and assurance.</w:t>
            </w:r>
          </w:p>
        </w:tc>
      </w:tr>
    </w:tbl>
    <w:tbl>
      <w:tblPr>
        <w:tblStyle w:val="TableGrid"/>
        <w:tblW w:type="auto" w:w="0"/>
        <w:tblLook w:firstColumn="1" w:firstRow="1" w:lastColumn="0" w:lastRow="0" w:noHBand="0" w:noVBand="1" w:val="04A0"/>
      </w:tblPr>
      <w:tblGrid>
        <w:gridCol w:w="2484"/>
        <w:gridCol w:w="2484"/>
        <w:gridCol w:w="2484"/>
        <w:gridCol w:w="2484"/>
      </w:tblGrid>
      <w:tr>
        <w:tc>
          <w:tcPr>
            <w:tcW w:type="dxa" w:w="2484"/>
            <w:tcMar>
              <w:top w:w="80" w:type="dxa"/>
              <w:start w:w="80" w:type="dxa"/>
              <w:bottom w:w="80" w:type="dxa"/>
              <w:end w:w="80" w:type="dxa"/>
            </w:tcMar>
            <w:vAlign w:val="center"/>
            <w:shd w:fill="DCE6F1"/>
          </w:tcPr>
          <w:p>
            <w:r>
              <w:rPr>
                <w:b/>
              </w:rPr>
              <w:t>Document ID</w:t>
            </w:r>
          </w:p>
        </w:tc>
        <w:tc>
          <w:tcPr>
            <w:tcW w:type="dxa" w:w="2484"/>
            <w:tcMar>
              <w:top w:w="80" w:type="dxa"/>
              <w:start w:w="80" w:type="dxa"/>
              <w:bottom w:w="80" w:type="dxa"/>
              <w:end w:w="80" w:type="dxa"/>
            </w:tcMar>
            <w:vAlign w:val="center"/>
          </w:tcPr>
          <w:p>
            <w:r>
              <w:t>PS-021</w:t>
            </w:r>
          </w:p>
        </w:tc>
        <w:tc>
          <w:tcPr>
            <w:tcW w:type="dxa" w:w="2484"/>
            <w:tcMar>
              <w:top w:w="80" w:type="dxa"/>
              <w:start w:w="80" w:type="dxa"/>
              <w:bottom w:w="80" w:type="dxa"/>
              <w:end w:w="80" w:type="dxa"/>
            </w:tcMar>
            <w:vAlign w:val="center"/>
            <w:shd w:fill="DCE6F1"/>
          </w:tcPr>
          <w:p>
            <w:r>
              <w:rPr>
                <w:b/>
              </w:rPr>
              <w:t>Owner</w:t>
            </w:r>
          </w:p>
        </w:tc>
        <w:tc>
          <w:tcPr>
            <w:tcW w:type="dxa" w:w="2484"/>
            <w:tcMar>
              <w:top w:w="80" w:type="dxa"/>
              <w:start w:w="80" w:type="dxa"/>
              <w:bottom w:w="80" w:type="dxa"/>
              <w:end w:w="80" w:type="dxa"/>
            </w:tcMar>
            <w:vAlign w:val="center"/>
          </w:tcPr>
          <w:p>
            <w:r>
              <w:t>[Product Security / Control Owner]</w:t>
            </w:r>
          </w:p>
        </w:tc>
      </w:tr>
      <w:tr>
        <w:tc>
          <w:tcPr>
            <w:tcW w:type="dxa" w:w="2484"/>
            <w:tcMar>
              <w:top w:w="80" w:type="dxa"/>
              <w:start w:w="80" w:type="dxa"/>
              <w:bottom w:w="80" w:type="dxa"/>
              <w:end w:w="80" w:type="dxa"/>
            </w:tcMar>
            <w:vAlign w:val="center"/>
            <w:shd w:fill="DCE6F1"/>
          </w:tcPr>
          <w:p>
            <w:r>
              <w:rPr>
                <w:b/>
              </w:rPr>
              <w:t>Version</w:t>
            </w:r>
          </w:p>
        </w:tc>
        <w:tc>
          <w:tcPr>
            <w:tcW w:type="dxa" w:w="2484"/>
            <w:tcMar>
              <w:top w:w="80" w:type="dxa"/>
              <w:start w:w="80" w:type="dxa"/>
              <w:bottom w:w="80" w:type="dxa"/>
              <w:end w:w="80" w:type="dxa"/>
            </w:tcMar>
            <w:vAlign w:val="center"/>
          </w:tcPr>
          <w:p>
            <w:r>
              <w:t>0.1 draft</w:t>
            </w:r>
          </w:p>
        </w:tc>
        <w:tc>
          <w:tcPr>
            <w:tcW w:type="dxa" w:w="2484"/>
            <w:tcMar>
              <w:top w:w="80" w:type="dxa"/>
              <w:start w:w="80" w:type="dxa"/>
              <w:bottom w:w="80" w:type="dxa"/>
              <w:end w:w="80" w:type="dxa"/>
            </w:tcMar>
            <w:vAlign w:val="center"/>
            <w:shd w:fill="DCE6F1"/>
          </w:tcPr>
          <w:p>
            <w:r>
              <w:rPr>
                <w:b/>
              </w:rPr>
              <w:t>Classification</w:t>
            </w:r>
          </w:p>
        </w:tc>
        <w:tc>
          <w:tcPr>
            <w:tcW w:type="dxa" w:w="2484"/>
            <w:tcMar>
              <w:top w:w="80" w:type="dxa"/>
              <w:start w:w="80" w:type="dxa"/>
              <w:bottom w:w="80" w:type="dxa"/>
              <w:end w:w="80" w:type="dxa"/>
            </w:tcMar>
            <w:vAlign w:val="center"/>
          </w:tcPr>
          <w:p>
            <w:r>
              <w:t>Internal</w:t>
            </w:r>
          </w:p>
        </w:tc>
      </w:tr>
      <w:tr>
        <w:tc>
          <w:tcPr>
            <w:tcW w:type="dxa" w:w="2484"/>
            <w:tcMar>
              <w:top w:w="80" w:type="dxa"/>
              <w:start w:w="80" w:type="dxa"/>
              <w:bottom w:w="80" w:type="dxa"/>
              <w:end w:w="80" w:type="dxa"/>
            </w:tcMar>
            <w:vAlign w:val="center"/>
            <w:shd w:fill="DCE6F1"/>
          </w:tcPr>
          <w:p>
            <w:r>
              <w:rPr>
                <w:b/>
              </w:rPr>
              <w:t>Effective date</w:t>
            </w:r>
          </w:p>
        </w:tc>
        <w:tc>
          <w:tcPr>
            <w:tcW w:type="dxa" w:w="2484"/>
            <w:tcMar>
              <w:top w:w="80" w:type="dxa"/>
              <w:start w:w="80" w:type="dxa"/>
              <w:bottom w:w="80" w:type="dxa"/>
              <w:end w:w="80" w:type="dxa"/>
            </w:tcMar>
            <w:vAlign w:val="center"/>
          </w:tcPr>
          <w:p>
            <w:r>
              <w:t>[YYYY-MM-DD]</w:t>
            </w:r>
          </w:p>
        </w:tc>
        <w:tc>
          <w:tcPr>
            <w:tcW w:type="dxa" w:w="2484"/>
            <w:tcMar>
              <w:top w:w="80" w:type="dxa"/>
              <w:start w:w="80" w:type="dxa"/>
              <w:bottom w:w="80" w:type="dxa"/>
              <w:end w:w="80" w:type="dxa"/>
            </w:tcMar>
            <w:vAlign w:val="center"/>
            <w:shd w:fill="DCE6F1"/>
          </w:tcPr>
          <w:p>
            <w:r>
              <w:rPr>
                <w:b/>
              </w:rPr>
              <w:t>Review cadence</w:t>
            </w:r>
          </w:p>
        </w:tc>
        <w:tc>
          <w:tcPr>
            <w:tcW w:type="dxa" w:w="2484"/>
            <w:tcMar>
              <w:top w:w="80" w:type="dxa"/>
              <w:start w:w="80" w:type="dxa"/>
              <w:bottom w:w="80" w:type="dxa"/>
              <w:end w:w="80" w:type="dxa"/>
            </w:tcMar>
            <w:vAlign w:val="center"/>
          </w:tcPr>
          <w:p>
            <w:r>
              <w:t>Annual or on material change</w:t>
            </w:r>
          </w:p>
        </w:tc>
      </w:tr>
      <w:tr>
        <w:tc>
          <w:tcPr>
            <w:tcW w:type="dxa" w:w="2484"/>
            <w:tcMar>
              <w:top w:w="80" w:type="dxa"/>
              <w:start w:w="80" w:type="dxa"/>
              <w:bottom w:w="80" w:type="dxa"/>
              <w:end w:w="80" w:type="dxa"/>
            </w:tcMar>
            <w:vAlign w:val="center"/>
            <w:shd w:fill="DCE6F1"/>
          </w:tcPr>
          <w:p>
            <w:r>
              <w:rPr>
                <w:b/>
              </w:rPr>
              <w:t>Approved by</w:t>
            </w:r>
          </w:p>
        </w:tc>
        <w:tc>
          <w:tcPr>
            <w:tcW w:type="dxa" w:w="2484"/>
            <w:tcMar>
              <w:top w:w="80" w:type="dxa"/>
              <w:start w:w="80" w:type="dxa"/>
              <w:bottom w:w="80" w:type="dxa"/>
              <w:end w:w="80" w:type="dxa"/>
            </w:tcMar>
            <w:vAlign w:val="center"/>
          </w:tcPr>
          <w:p>
            <w:r>
              <w:t>[Security leadership / delegated approver]</w:t>
            </w:r>
          </w:p>
        </w:tc>
        <w:tc>
          <w:tcPr>
            <w:tcW w:type="dxa" w:w="2484"/>
            <w:tcMar>
              <w:top w:w="80" w:type="dxa"/>
              <w:start w:w="80" w:type="dxa"/>
              <w:bottom w:w="80" w:type="dxa"/>
              <w:end w:w="80" w:type="dxa"/>
            </w:tcMar>
            <w:vAlign w:val="center"/>
            <w:shd w:fill="DCE6F1"/>
          </w:tcPr>
          <w:p>
            <w:r>
              <w:rPr>
                <w:b/>
              </w:rPr>
              <w:t>Evidence systems</w:t>
            </w:r>
          </w:p>
        </w:tc>
        <w:tc>
          <w:tcPr>
            <w:tcW w:type="dxa" w:w="2484"/>
            <w:tcMar>
              <w:top w:w="80" w:type="dxa"/>
              <w:start w:w="80" w:type="dxa"/>
              <w:bottom w:w="80" w:type="dxa"/>
              <w:end w:w="80" w:type="dxa"/>
            </w:tcMar>
            <w:vAlign w:val="center"/>
          </w:tcPr>
          <w:p>
            <w:r>
              <w:t>[ticketing, wiki, CI, SIEM, CMDB]</w:t>
            </w:r>
          </w:p>
        </w:tc>
      </w:tr>
      <w:tr>
        <w:tc>
          <w:tcPr>
            <w:tcW w:type="dxa" w:w="2484"/>
            <w:tcMar>
              <w:top w:w="80" w:type="dxa"/>
              <w:start w:w="80" w:type="dxa"/>
              <w:bottom w:w="80" w:type="dxa"/>
              <w:end w:w="80" w:type="dxa"/>
            </w:tcMar>
            <w:vAlign w:val="center"/>
            <w:shd w:fill="DCE6F1"/>
          </w:tcPr>
          <w:p>
            <w:r>
              <w:rPr>
                <w:b/>
              </w:rPr>
              <w:t>Related standards</w:t>
            </w:r>
          </w:p>
        </w:tc>
        <w:tc>
          <w:tcPr>
            <w:tcW w:type="dxa" w:w="2484"/>
            <w:tcMar>
              <w:top w:w="80" w:type="dxa"/>
              <w:start w:w="80" w:type="dxa"/>
              <w:bottom w:w="80" w:type="dxa"/>
              <w:end w:w="80" w:type="dxa"/>
            </w:tcMar>
            <w:vAlign w:val="center"/>
          </w:tcPr>
          <w:p>
            <w:r>
              <w:t>[SOC 2 CC-series / internal standards]</w:t>
            </w:r>
          </w:p>
        </w:tc>
        <w:tc>
          <w:tcPr>
            <w:tcW w:type="dxa" w:w="2484"/>
            <w:tcMar>
              <w:top w:w="80" w:type="dxa"/>
              <w:start w:w="80" w:type="dxa"/>
              <w:bottom w:w="80" w:type="dxa"/>
              <w:end w:w="80" w:type="dxa"/>
            </w:tcMar>
            <w:vAlign w:val="center"/>
            <w:shd w:fill="DCE6F1"/>
          </w:tcPr>
          <w:p>
            <w:r>
              <w:rPr>
                <w:b/>
              </w:rPr>
              <w:t>Exceptions</w:t>
            </w:r>
          </w:p>
        </w:tc>
        <w:tc>
          <w:tcPr>
            <w:tcW w:type="dxa" w:w="2484"/>
            <w:tcMar>
              <w:top w:w="80" w:type="dxa"/>
              <w:start w:w="80" w:type="dxa"/>
              <w:bottom w:w="80" w:type="dxa"/>
              <w:end w:w="80" w:type="dxa"/>
            </w:tcMar>
            <w:vAlign w:val="center"/>
          </w:tcPr>
          <w:p>
            <w:r>
              <w:t>[link to exception process]</w:t>
            </w:r>
          </w:p>
        </w:tc>
      </w:tr>
    </w:tbl>
    <w:p>
      <w:pPr>
        <w:pStyle w:val="KBHeading1"/>
        <w:spacing w:after="120"/>
      </w:pPr>
      <w:r>
        <w:rPr>
          <w:i w:val="0"/>
        </w:rPr>
        <w:t>Suggested chapter skeleton</w:t>
      </w:r>
    </w:p>
    <w:tbl>
      <w:tblPr>
        <w:tblStyle w:val="TableGrid"/>
        <w:tblW w:type="auto" w:w="0"/>
        <w:tblLook w:firstColumn="1" w:firstRow="1" w:lastColumn="0" w:lastRow="0" w:noHBand="0" w:noVBand="1" w:val="04A0"/>
      </w:tblPr>
      <w:tblGrid>
        <w:gridCol w:w="4968"/>
        <w:gridCol w:w="4968"/>
      </w:tblGrid>
      <w:tr>
        <w:tc>
          <w:tcPr>
            <w:tcW w:type="dxa" w:w="4968"/>
            <w:shd w:fill="0F2E4E"/>
          </w:tcPr>
          <w:p>
            <w:r>
              <w:rPr>
                <w:b/>
                <w:color w:val="FFFFFF"/>
              </w:rPr>
              <w:t>Section</w:t>
            </w:r>
          </w:p>
        </w:tc>
        <w:tc>
          <w:tcPr>
            <w:tcW w:type="dxa" w:w="4968"/>
            <w:shd w:fill="0F2E4E"/>
          </w:tcPr>
          <w:p>
            <w:r>
              <w:rPr>
                <w:b/>
                <w:color w:val="FFFFFF"/>
              </w:rPr>
              <w:t>Why it matters</w:t>
            </w:r>
          </w:p>
        </w:tc>
      </w:tr>
      <w:tr>
        <w:tc>
          <w:tcPr>
            <w:tcW w:type="dxa" w:w="4968"/>
            <w:tcMar>
              <w:top w:w="80" w:type="dxa"/>
              <w:start w:w="80" w:type="dxa"/>
              <w:bottom w:w="80" w:type="dxa"/>
              <w:end w:w="80" w:type="dxa"/>
            </w:tcMar>
          </w:tcPr>
          <w:p>
            <w:r>
              <w:t>1. Purpose and scope</w:t>
            </w:r>
          </w:p>
        </w:tc>
        <w:tc>
          <w:tcPr>
            <w:tcW w:type="dxa" w:w="4968"/>
            <w:tcMar>
              <w:top w:w="80" w:type="dxa"/>
              <w:start w:w="80" w:type="dxa"/>
              <w:bottom w:w="80" w:type="dxa"/>
              <w:end w:w="80" w:type="dxa"/>
            </w:tcMar>
          </w:tcPr>
          <w:p>
            <w:r>
              <w:t>Defines expectations for operational logging, monitoring, alerting, and durable evidence retention.</w:t>
            </w:r>
          </w:p>
        </w:tc>
      </w:tr>
      <w:tr>
        <w:tc>
          <w:tcPr>
            <w:tcW w:type="dxa" w:w="4968"/>
            <w:tcMar>
              <w:top w:w="80" w:type="dxa"/>
              <w:start w:w="80" w:type="dxa"/>
              <w:bottom w:w="80" w:type="dxa"/>
              <w:end w:w="80" w:type="dxa"/>
            </w:tcMar>
          </w:tcPr>
          <w:p>
            <w:r>
              <w:t>2. Required telemetry classes</w:t>
            </w:r>
          </w:p>
        </w:tc>
        <w:tc>
          <w:tcPr>
            <w:tcW w:type="dxa" w:w="4968"/>
            <w:tcMar>
              <w:top w:w="80" w:type="dxa"/>
              <w:start w:w="80" w:type="dxa"/>
              <w:bottom w:w="80" w:type="dxa"/>
              <w:end w:w="80" w:type="dxa"/>
            </w:tcMar>
          </w:tcPr>
          <w:p>
            <w:r>
              <w:t>Makes the baseline explicit.</w:t>
            </w:r>
          </w:p>
        </w:tc>
      </w:tr>
      <w:tr>
        <w:tc>
          <w:tcPr>
            <w:tcW w:type="dxa" w:w="4968"/>
            <w:tcMar>
              <w:top w:w="80" w:type="dxa"/>
              <w:start w:w="80" w:type="dxa"/>
              <w:bottom w:w="80" w:type="dxa"/>
              <w:end w:w="80" w:type="dxa"/>
            </w:tcMar>
          </w:tcPr>
          <w:p>
            <w:r>
              <w:t>3. Immutable and durable records</w:t>
            </w:r>
          </w:p>
        </w:tc>
        <w:tc>
          <w:tcPr>
            <w:tcW w:type="dxa" w:w="4968"/>
            <w:tcMar>
              <w:top w:w="80" w:type="dxa"/>
              <w:start w:w="80" w:type="dxa"/>
              <w:bottom w:w="80" w:type="dxa"/>
              <w:end w:w="80" w:type="dxa"/>
            </w:tcMar>
          </w:tcPr>
          <w:p>
            <w:r>
              <w:t>Covers the controls most relevant to auditability.</w:t>
            </w:r>
          </w:p>
        </w:tc>
      </w:tr>
      <w:tr>
        <w:tc>
          <w:tcPr>
            <w:tcW w:type="dxa" w:w="4968"/>
            <w:tcMar>
              <w:top w:w="80" w:type="dxa"/>
              <w:start w:w="80" w:type="dxa"/>
              <w:bottom w:w="80" w:type="dxa"/>
              <w:end w:w="80" w:type="dxa"/>
            </w:tcMar>
          </w:tcPr>
          <w:p>
            <w:r>
              <w:t>4. Investigation support</w:t>
            </w:r>
          </w:p>
        </w:tc>
        <w:tc>
          <w:tcPr>
            <w:tcW w:type="dxa" w:w="4968"/>
            <w:tcMar>
              <w:top w:w="80" w:type="dxa"/>
              <w:start w:w="80" w:type="dxa"/>
              <w:bottom w:w="80" w:type="dxa"/>
              <w:end w:w="80" w:type="dxa"/>
            </w:tcMar>
          </w:tcPr>
          <w:p>
            <w:r>
              <w:t>Explains why these controls exist beyond compliance.</w:t>
            </w:r>
          </w:p>
        </w:tc>
      </w:tr>
    </w:tbl>
    <w:p>
      <w:pPr>
        <w:pStyle w:val="KBHeading1"/>
        <w:spacing w:after="120"/>
      </w:pPr>
      <w:r>
        <w:rPr>
          <w:i w:val="0"/>
        </w:rPr>
        <w:t>1. Purpose and scope</w:t>
      </w:r>
    </w:p>
    <w:p>
      <w:pPr>
        <w:spacing w:after="120"/>
      </w:pPr>
      <w:r>
        <w:rPr>
          <w:i w:val="0"/>
        </w:rPr>
        <w:t>This standard applies to application logs, CI/CD logs, audit trails, cloud control-plane records, Kubernetes audit events, privileged session records, deployment evidence, and investigation artifacts required to support response, assurance, and reconstruction of material events.</w:t>
      </w:r>
    </w:p>
    <w:p>
      <w:pPr>
        <w:pStyle w:val="ListBullet"/>
        <w:spacing w:after="40"/>
      </w:pPr>
      <w:r>
        <w:t>Critical logs must be forwarded to centralized systems promptly.</w:t>
      </w:r>
    </w:p>
    <w:p>
      <w:pPr>
        <w:pStyle w:val="ListBullet"/>
        <w:spacing w:after="40"/>
      </w:pPr>
      <w:r>
        <w:t>Security-relevant logs must be protected against tampering and premature deletion.</w:t>
      </w:r>
    </w:p>
    <w:p>
      <w:pPr>
        <w:pStyle w:val="ListBullet"/>
        <w:spacing w:after="40"/>
      </w:pPr>
      <w:r>
        <w:t>Retention periods must reflect assurance and investigation needs.</w:t>
      </w:r>
    </w:p>
    <w:p>
      <w:pPr>
        <w:pStyle w:val="KBHeading1"/>
        <w:spacing w:after="120"/>
      </w:pPr>
      <w:r>
        <w:rPr>
          <w:i w:val="0"/>
        </w:rPr>
        <w:t>2. Required telemetry classes</w:t>
      </w:r>
    </w:p>
    <w:p>
      <w:pPr>
        <w:pStyle w:val="ListBullet"/>
        <w:spacing w:after="40"/>
      </w:pPr>
      <w:r>
        <w:t>Authentication and authorization events</w:t>
      </w:r>
    </w:p>
    <w:p>
      <w:pPr>
        <w:pStyle w:val="ListBullet"/>
        <w:spacing w:after="40"/>
      </w:pPr>
      <w:r>
        <w:t>Privileged actions and administrative configuration changes</w:t>
      </w:r>
    </w:p>
    <w:p>
      <w:pPr>
        <w:pStyle w:val="ListBullet"/>
        <w:spacing w:after="40"/>
      </w:pPr>
      <w:r>
        <w:t>Deployments, rollbacks, and release approvals</w:t>
      </w:r>
    </w:p>
    <w:p>
      <w:pPr>
        <w:pStyle w:val="ListBullet"/>
        <w:spacing w:after="40"/>
      </w:pPr>
      <w:r>
        <w:t>Secrets access, key operations, and break-glass activity</w:t>
      </w:r>
    </w:p>
    <w:p>
      <w:pPr>
        <w:pStyle w:val="ListBullet"/>
        <w:spacing w:after="40"/>
      </w:pPr>
      <w:r>
        <w:t>High-value data export, bulk actions, and incident-response actions</w:t>
      </w:r>
    </w:p>
    <w:p>
      <w:pPr>
        <w:pStyle w:val="KBHeading1"/>
        <w:spacing w:after="120"/>
      </w:pPr>
      <w:r>
        <w:rPr>
          <w:i w:val="0"/>
        </w:rPr>
        <w:t>3. Immutable and durable records</w:t>
      </w:r>
    </w:p>
    <w:p>
      <w:pPr>
        <w:pStyle w:val="ListBullet"/>
        <w:spacing w:after="40"/>
      </w:pPr>
      <w:r>
        <w:t>Write-once or retention-locked storage for high-value evidence where feasible</w:t>
      </w:r>
    </w:p>
    <w:p>
      <w:pPr>
        <w:pStyle w:val="ListBullet"/>
        <w:spacing w:after="40"/>
      </w:pPr>
      <w:r>
        <w:t>Segregation between system operators and evidence administrators</w:t>
      </w:r>
    </w:p>
    <w:p>
      <w:pPr>
        <w:pStyle w:val="ListBullet"/>
        <w:spacing w:after="40"/>
      </w:pPr>
      <w:r>
        <w:t>Integrity controls for archived reports and exported evidence packs</w:t>
      </w:r>
    </w:p>
    <w:p>
      <w:pPr>
        <w:pStyle w:val="ListBullet"/>
        <w:spacing w:after="40"/>
      </w:pPr>
      <w:r>
        <w:t>Documentation of retention windows, legal holds, and purge workflows</w:t>
      </w:r>
    </w:p>
    <w:p>
      <w:pPr>
        <w:pStyle w:val="KBHeading1"/>
        <w:spacing w:after="120"/>
      </w:pPr>
      <w:r>
        <w:rPr>
          <w:i w:val="0"/>
        </w:rPr>
        <w:t>4. Investigation support</w:t>
      </w:r>
    </w:p>
    <w:p>
      <w:pPr>
        <w:spacing w:after="120"/>
      </w:pPr>
      <w:r>
        <w:rPr>
          <w:i w:val="0"/>
        </w:rPr>
        <w:t>Operational telemetry is valuable only if it supports fast, defensible triage. Collection should therefore be paired with time synchronization, identity fidelity, searchability, and clear ownership of log quality and retention exceptions.</w:t>
      </w:r>
    </w:p>
    <w:p>
      <w:pPr>
        <w:pStyle w:val="KBHeading1"/>
        <w:spacing w:after="120"/>
      </w:pPr>
      <w:r>
        <w:rPr>
          <w:i w:val="0"/>
        </w:rPr>
        <w:t>Approval and revision record</w:t>
      </w:r>
    </w:p>
    <w:tbl>
      <w:tblPr>
        <w:tblStyle w:val="TableGrid"/>
        <w:tblW w:type="auto" w:w="0"/>
        <w:tblLook w:firstColumn="1" w:firstRow="1" w:lastColumn="0" w:lastRow="0" w:noHBand="0" w:noVBand="1" w:val="04A0"/>
      </w:tblPr>
      <w:tblGrid>
        <w:gridCol w:w="2484"/>
        <w:gridCol w:w="2484"/>
        <w:gridCol w:w="2484"/>
        <w:gridCol w:w="2484"/>
      </w:tblGrid>
      <w:tr>
        <w:tc>
          <w:tcPr>
            <w:tcW w:type="dxa" w:w="2484"/>
            <w:shd w:fill="0F2E4E"/>
          </w:tcPr>
          <w:p>
            <w:r>
              <w:rPr>
                <w:b/>
                <w:color w:val="FFFFFF"/>
              </w:rPr>
              <w:t>Version</w:t>
            </w:r>
          </w:p>
        </w:tc>
        <w:tc>
          <w:tcPr>
            <w:tcW w:type="dxa" w:w="2484"/>
            <w:shd w:fill="0F2E4E"/>
          </w:tcPr>
          <w:p>
            <w:r>
              <w:rPr>
                <w:b/>
                <w:color w:val="FFFFFF"/>
              </w:rPr>
              <w:t>Date</w:t>
            </w:r>
          </w:p>
        </w:tc>
        <w:tc>
          <w:tcPr>
            <w:tcW w:type="dxa" w:w="2484"/>
            <w:shd w:fill="0F2E4E"/>
          </w:tcPr>
          <w:p>
            <w:r>
              <w:rPr>
                <w:b/>
                <w:color w:val="FFFFFF"/>
              </w:rPr>
              <w:t>Author / approver</w:t>
            </w:r>
          </w:p>
        </w:tc>
        <w:tc>
          <w:tcPr>
            <w:tcW w:type="dxa" w:w="2484"/>
            <w:shd w:fill="0F2E4E"/>
          </w:tcPr>
          <w:p>
            <w:r>
              <w:rPr>
                <w:b/>
                <w:color w:val="FFFFFF"/>
              </w:rPr>
              <w:t>Change summary</w:t>
            </w:r>
          </w:p>
        </w:tc>
      </w:tr>
      <w:tr>
        <w:tc>
          <w:tcPr>
            <w:tcW w:type="dxa" w:w="2484"/>
            <w:tcMar>
              <w:top w:w="80" w:type="dxa"/>
              <w:start w:w="80" w:type="dxa"/>
              <w:bottom w:w="80" w:type="dxa"/>
              <w:end w:w="80" w:type="dxa"/>
            </w:tcMar>
          </w:tcPr>
          <w:p>
            <w:r>
              <w:t>0.1</w:t>
            </w:r>
          </w:p>
        </w:tc>
        <w:tc>
          <w:tcPr>
            <w:tcW w:type="dxa" w:w="2484"/>
            <w:tcMar>
              <w:top w:w="80" w:type="dxa"/>
              <w:start w:w="80" w:type="dxa"/>
              <w:bottom w:w="80" w:type="dxa"/>
              <w:end w:w="80" w:type="dxa"/>
            </w:tcMar>
          </w:tcPr>
          <w:p>
            <w:r>
              <w:t>[YYYY-MM-DD]</w:t>
            </w:r>
          </w:p>
        </w:tc>
        <w:tc>
          <w:tcPr>
            <w:tcW w:type="dxa" w:w="2484"/>
            <w:tcMar>
              <w:top w:w="80" w:type="dxa"/>
              <w:start w:w="80" w:type="dxa"/>
              <w:bottom w:w="80" w:type="dxa"/>
              <w:end w:w="80" w:type="dxa"/>
            </w:tcMar>
          </w:tcPr>
          <w:p>
            <w:r>
              <w:t>[Name]</w:t>
            </w:r>
          </w:p>
        </w:tc>
        <w:tc>
          <w:tcPr>
            <w:tcW w:type="dxa" w:w="2484"/>
            <w:tcMar>
              <w:top w:w="80" w:type="dxa"/>
              <w:start w:w="80" w:type="dxa"/>
              <w:bottom w:w="80" w:type="dxa"/>
              <w:end w:w="80" w:type="dxa"/>
            </w:tcMar>
          </w:tcPr>
          <w:p>
            <w:r>
              <w:t>Initial illustrative skeleton</w:t>
            </w:r>
          </w:p>
        </w:tc>
      </w:tr>
      <w:tr>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r>
      <w:tr>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r>
    </w:tbl>
    <w:sectPr w:rsidR="00FC693F" w:rsidRPr="0006063C" w:rsidSect="00034616">
      <w:headerReference w:type="default" r:id="rId9"/>
      <w:footerReference w:type="default" r:id="rId10"/>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 xml:space="preserve">Ivan Piskunov (c) — Illustrative template for adaptation by the organization — Page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16"/>
      </w:rPr>
      <w:t>Product Security Controlled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KBTitle">
    <w:name w:val="KB Title"/>
    <w:basedOn w:val="Title"/>
    <w:rPr>
      <w:rFonts w:ascii="Aptos Display" w:hAnsi="Aptos Display"/>
      <w:b/>
      <w:color w:val="0F2E4E"/>
      <w:sz w:val="44"/>
    </w:rPr>
  </w:style>
  <w:style w:type="paragraph" w:customStyle="1" w:styleId="KBHeading1">
    <w:name w:val="KB Heading 1"/>
    <w:basedOn w:val="Heading1"/>
    <w:rPr>
      <w:rFonts w:ascii="Aptos" w:hAnsi="Aptos"/>
      <w:b/>
      <w:color w:val="0F2E4E"/>
      <w:sz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