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KBTitle"/>
        <w:spacing w:after="40"/>
      </w:pPr>
      <w:r>
        <w:rPr>
          <w:i w:val="0"/>
        </w:rPr>
        <w:t>PS-022 — Backup, Recovery, and Production Data Protection Standard</w:t>
      </w:r>
    </w:p>
    <w:p>
      <w:pPr>
        <w:spacing w:after="240"/>
      </w:pPr>
      <w:r>
        <w:rPr>
          <w:i/>
          <w:color w:val="5A5A5A"/>
          <w:sz w:val="20"/>
        </w:rPr>
        <w:t>SOC 2-focused Product Security template skeleton</w:t>
      </w:r>
    </w:p>
    <w:tbl>
      <w:tblPr>
        <w:tblW w:type="auto" w:w="0"/>
        <w:tblLook w:firstColumn="1" w:firstRow="1" w:lastColumn="0" w:lastRow="0" w:noHBand="0" w:noVBand="1" w:val="04A0"/>
      </w:tblPr>
      <w:tblGrid>
        <w:gridCol w:w="9936"/>
      </w:tblGrid>
      <w:tr>
        <w:tc>
          <w:tcPr>
            <w:tcW w:type="dxa" w:w="9936"/>
            <w:shd w:fill="EAF3FF"/>
            <w:tcMar>
              <w:top w:w="80" w:type="dxa"/>
              <w:start w:w="80" w:type="dxa"/>
              <w:bottom w:w="80" w:type="dxa"/>
              <w:end w:w="80" w:type="dxa"/>
            </w:tcMar>
          </w:tcPr>
          <w:p>
            <w:r>
              <w:rPr>
                <w:b/>
              </w:rPr>
              <w:t xml:space="preserve">Template intent: </w:t>
            </w:r>
            <w:r>
              <w:t>Provide a template for resilient backup, restore, access, and production-data handling controls relevant to product environments.</w:t>
            </w:r>
          </w:p>
        </w:tc>
      </w:tr>
    </w:tbl>
    <w:tbl>
      <w:tblPr>
        <w:tblStyle w:val="TableGrid"/>
        <w:tblW w:type="auto" w:w="0"/>
        <w:tblLook w:firstColumn="1" w:firstRow="1" w:lastColumn="0" w:lastRow="0" w:noHBand="0" w:noVBand="1" w:val="04A0"/>
      </w:tblPr>
      <w:tblGrid>
        <w:gridCol w:w="2484"/>
        <w:gridCol w:w="2484"/>
        <w:gridCol w:w="2484"/>
        <w:gridCol w:w="2484"/>
      </w:tblGrid>
      <w:tr>
        <w:tc>
          <w:tcPr>
            <w:tcW w:type="dxa" w:w="2484"/>
            <w:tcMar>
              <w:top w:w="80" w:type="dxa"/>
              <w:start w:w="80" w:type="dxa"/>
              <w:bottom w:w="80" w:type="dxa"/>
              <w:end w:w="80" w:type="dxa"/>
            </w:tcMar>
            <w:vAlign w:val="center"/>
            <w:shd w:fill="DCE6F1"/>
          </w:tcPr>
          <w:p>
            <w:r>
              <w:rPr>
                <w:b/>
              </w:rPr>
              <w:t>Document ID</w:t>
            </w:r>
          </w:p>
        </w:tc>
        <w:tc>
          <w:tcPr>
            <w:tcW w:type="dxa" w:w="2484"/>
            <w:tcMar>
              <w:top w:w="80" w:type="dxa"/>
              <w:start w:w="80" w:type="dxa"/>
              <w:bottom w:w="80" w:type="dxa"/>
              <w:end w:w="80" w:type="dxa"/>
            </w:tcMar>
            <w:vAlign w:val="center"/>
          </w:tcPr>
          <w:p>
            <w:r>
              <w:t>PS-022</w:t>
            </w:r>
          </w:p>
        </w:tc>
        <w:tc>
          <w:tcPr>
            <w:tcW w:type="dxa" w:w="2484"/>
            <w:tcMar>
              <w:top w:w="80" w:type="dxa"/>
              <w:start w:w="80" w:type="dxa"/>
              <w:bottom w:w="80" w:type="dxa"/>
              <w:end w:w="80" w:type="dxa"/>
            </w:tcMar>
            <w:vAlign w:val="center"/>
            <w:shd w:fill="DCE6F1"/>
          </w:tcPr>
          <w:p>
            <w:r>
              <w:rPr>
                <w:b/>
              </w:rPr>
              <w:t>Owner</w:t>
            </w:r>
          </w:p>
        </w:tc>
        <w:tc>
          <w:tcPr>
            <w:tcW w:type="dxa" w:w="2484"/>
            <w:tcMar>
              <w:top w:w="80" w:type="dxa"/>
              <w:start w:w="80" w:type="dxa"/>
              <w:bottom w:w="80" w:type="dxa"/>
              <w:end w:w="80" w:type="dxa"/>
            </w:tcMar>
            <w:vAlign w:val="center"/>
          </w:tcPr>
          <w:p>
            <w:r>
              <w:t>[Product Security / Control Owner]</w:t>
            </w:r>
          </w:p>
        </w:tc>
      </w:tr>
      <w:tr>
        <w:tc>
          <w:tcPr>
            <w:tcW w:type="dxa" w:w="2484"/>
            <w:tcMar>
              <w:top w:w="80" w:type="dxa"/>
              <w:start w:w="80" w:type="dxa"/>
              <w:bottom w:w="80" w:type="dxa"/>
              <w:end w:w="80" w:type="dxa"/>
            </w:tcMar>
            <w:vAlign w:val="center"/>
            <w:shd w:fill="DCE6F1"/>
          </w:tcPr>
          <w:p>
            <w:r>
              <w:rPr>
                <w:b/>
              </w:rPr>
              <w:t>Version</w:t>
            </w:r>
          </w:p>
        </w:tc>
        <w:tc>
          <w:tcPr>
            <w:tcW w:type="dxa" w:w="2484"/>
            <w:tcMar>
              <w:top w:w="80" w:type="dxa"/>
              <w:start w:w="80" w:type="dxa"/>
              <w:bottom w:w="80" w:type="dxa"/>
              <w:end w:w="80" w:type="dxa"/>
            </w:tcMar>
            <w:vAlign w:val="center"/>
          </w:tcPr>
          <w:p>
            <w:r>
              <w:t>0.1 draft</w:t>
            </w:r>
          </w:p>
        </w:tc>
        <w:tc>
          <w:tcPr>
            <w:tcW w:type="dxa" w:w="2484"/>
            <w:tcMar>
              <w:top w:w="80" w:type="dxa"/>
              <w:start w:w="80" w:type="dxa"/>
              <w:bottom w:w="80" w:type="dxa"/>
              <w:end w:w="80" w:type="dxa"/>
            </w:tcMar>
            <w:vAlign w:val="center"/>
            <w:shd w:fill="DCE6F1"/>
          </w:tcPr>
          <w:p>
            <w:r>
              <w:rPr>
                <w:b/>
              </w:rPr>
              <w:t>Classification</w:t>
            </w:r>
          </w:p>
        </w:tc>
        <w:tc>
          <w:tcPr>
            <w:tcW w:type="dxa" w:w="2484"/>
            <w:tcMar>
              <w:top w:w="80" w:type="dxa"/>
              <w:start w:w="80" w:type="dxa"/>
              <w:bottom w:w="80" w:type="dxa"/>
              <w:end w:w="80" w:type="dxa"/>
            </w:tcMar>
            <w:vAlign w:val="center"/>
          </w:tcPr>
          <w:p>
            <w:r>
              <w:t>Internal</w:t>
            </w:r>
          </w:p>
        </w:tc>
      </w:tr>
      <w:tr>
        <w:tc>
          <w:tcPr>
            <w:tcW w:type="dxa" w:w="2484"/>
            <w:tcMar>
              <w:top w:w="80" w:type="dxa"/>
              <w:start w:w="80" w:type="dxa"/>
              <w:bottom w:w="80" w:type="dxa"/>
              <w:end w:w="80" w:type="dxa"/>
            </w:tcMar>
            <w:vAlign w:val="center"/>
            <w:shd w:fill="DCE6F1"/>
          </w:tcPr>
          <w:p>
            <w:r>
              <w:rPr>
                <w:b/>
              </w:rPr>
              <w:t>Effective date</w:t>
            </w:r>
          </w:p>
        </w:tc>
        <w:tc>
          <w:tcPr>
            <w:tcW w:type="dxa" w:w="2484"/>
            <w:tcMar>
              <w:top w:w="80" w:type="dxa"/>
              <w:start w:w="80" w:type="dxa"/>
              <w:bottom w:w="80" w:type="dxa"/>
              <w:end w:w="80" w:type="dxa"/>
            </w:tcMar>
            <w:vAlign w:val="center"/>
          </w:tcPr>
          <w:p>
            <w:r>
              <w:t>[YYYY-MM-DD]</w:t>
            </w:r>
          </w:p>
        </w:tc>
        <w:tc>
          <w:tcPr>
            <w:tcW w:type="dxa" w:w="2484"/>
            <w:tcMar>
              <w:top w:w="80" w:type="dxa"/>
              <w:start w:w="80" w:type="dxa"/>
              <w:bottom w:w="80" w:type="dxa"/>
              <w:end w:w="80" w:type="dxa"/>
            </w:tcMar>
            <w:vAlign w:val="center"/>
            <w:shd w:fill="DCE6F1"/>
          </w:tcPr>
          <w:p>
            <w:r>
              <w:rPr>
                <w:b/>
              </w:rPr>
              <w:t>Review cadence</w:t>
            </w:r>
          </w:p>
        </w:tc>
        <w:tc>
          <w:tcPr>
            <w:tcW w:type="dxa" w:w="2484"/>
            <w:tcMar>
              <w:top w:w="80" w:type="dxa"/>
              <w:start w:w="80" w:type="dxa"/>
              <w:bottom w:w="80" w:type="dxa"/>
              <w:end w:w="80" w:type="dxa"/>
            </w:tcMar>
            <w:vAlign w:val="center"/>
          </w:tcPr>
          <w:p>
            <w:r>
              <w:t>Annual or on material change</w:t>
            </w:r>
          </w:p>
        </w:tc>
      </w:tr>
      <w:tr>
        <w:tc>
          <w:tcPr>
            <w:tcW w:type="dxa" w:w="2484"/>
            <w:tcMar>
              <w:top w:w="80" w:type="dxa"/>
              <w:start w:w="80" w:type="dxa"/>
              <w:bottom w:w="80" w:type="dxa"/>
              <w:end w:w="80" w:type="dxa"/>
            </w:tcMar>
            <w:vAlign w:val="center"/>
            <w:shd w:fill="DCE6F1"/>
          </w:tcPr>
          <w:p>
            <w:r>
              <w:rPr>
                <w:b/>
              </w:rPr>
              <w:t>Approved by</w:t>
            </w:r>
          </w:p>
        </w:tc>
        <w:tc>
          <w:tcPr>
            <w:tcW w:type="dxa" w:w="2484"/>
            <w:tcMar>
              <w:top w:w="80" w:type="dxa"/>
              <w:start w:w="80" w:type="dxa"/>
              <w:bottom w:w="80" w:type="dxa"/>
              <w:end w:w="80" w:type="dxa"/>
            </w:tcMar>
            <w:vAlign w:val="center"/>
          </w:tcPr>
          <w:p>
            <w:r>
              <w:t>[Security leadership / delegated approver]</w:t>
            </w:r>
          </w:p>
        </w:tc>
        <w:tc>
          <w:tcPr>
            <w:tcW w:type="dxa" w:w="2484"/>
            <w:tcMar>
              <w:top w:w="80" w:type="dxa"/>
              <w:start w:w="80" w:type="dxa"/>
              <w:bottom w:w="80" w:type="dxa"/>
              <w:end w:w="80" w:type="dxa"/>
            </w:tcMar>
            <w:vAlign w:val="center"/>
            <w:shd w:fill="DCE6F1"/>
          </w:tcPr>
          <w:p>
            <w:r>
              <w:rPr>
                <w:b/>
              </w:rPr>
              <w:t>Evidence systems</w:t>
            </w:r>
          </w:p>
        </w:tc>
        <w:tc>
          <w:tcPr>
            <w:tcW w:type="dxa" w:w="2484"/>
            <w:tcMar>
              <w:top w:w="80" w:type="dxa"/>
              <w:start w:w="80" w:type="dxa"/>
              <w:bottom w:w="80" w:type="dxa"/>
              <w:end w:w="80" w:type="dxa"/>
            </w:tcMar>
            <w:vAlign w:val="center"/>
          </w:tcPr>
          <w:p>
            <w:r>
              <w:t>[ticketing, wiki, CI, SIEM, CMDB]</w:t>
            </w:r>
          </w:p>
        </w:tc>
      </w:tr>
      <w:tr>
        <w:tc>
          <w:tcPr>
            <w:tcW w:type="dxa" w:w="2484"/>
            <w:tcMar>
              <w:top w:w="80" w:type="dxa"/>
              <w:start w:w="80" w:type="dxa"/>
              <w:bottom w:w="80" w:type="dxa"/>
              <w:end w:w="80" w:type="dxa"/>
            </w:tcMar>
            <w:vAlign w:val="center"/>
            <w:shd w:fill="DCE6F1"/>
          </w:tcPr>
          <w:p>
            <w:r>
              <w:rPr>
                <w:b/>
              </w:rPr>
              <w:t>Related standards</w:t>
            </w:r>
          </w:p>
        </w:tc>
        <w:tc>
          <w:tcPr>
            <w:tcW w:type="dxa" w:w="2484"/>
            <w:tcMar>
              <w:top w:w="80" w:type="dxa"/>
              <w:start w:w="80" w:type="dxa"/>
              <w:bottom w:w="80" w:type="dxa"/>
              <w:end w:w="80" w:type="dxa"/>
            </w:tcMar>
            <w:vAlign w:val="center"/>
          </w:tcPr>
          <w:p>
            <w:r>
              <w:t>[SOC 2 CC-series / internal standards]</w:t>
            </w:r>
          </w:p>
        </w:tc>
        <w:tc>
          <w:tcPr>
            <w:tcW w:type="dxa" w:w="2484"/>
            <w:tcMar>
              <w:top w:w="80" w:type="dxa"/>
              <w:start w:w="80" w:type="dxa"/>
              <w:bottom w:w="80" w:type="dxa"/>
              <w:end w:w="80" w:type="dxa"/>
            </w:tcMar>
            <w:vAlign w:val="center"/>
            <w:shd w:fill="DCE6F1"/>
          </w:tcPr>
          <w:p>
            <w:r>
              <w:rPr>
                <w:b/>
              </w:rPr>
              <w:t>Exceptions</w:t>
            </w:r>
          </w:p>
        </w:tc>
        <w:tc>
          <w:tcPr>
            <w:tcW w:type="dxa" w:w="2484"/>
            <w:tcMar>
              <w:top w:w="80" w:type="dxa"/>
              <w:start w:w="80" w:type="dxa"/>
              <w:bottom w:w="80" w:type="dxa"/>
              <w:end w:w="80" w:type="dxa"/>
            </w:tcMar>
            <w:vAlign w:val="center"/>
          </w:tcPr>
          <w:p>
            <w:r>
              <w:t>[link to exception process]</w:t>
            </w:r>
          </w:p>
        </w:tc>
      </w:tr>
    </w:tbl>
    <w:p>
      <w:pPr>
        <w:pStyle w:val="KBHeading1"/>
        <w:spacing w:after="120"/>
      </w:pPr>
      <w:r>
        <w:rPr>
          <w:i w:val="0"/>
        </w:rPr>
        <w:t>Suggested chapter skeleton</w:t>
      </w:r>
    </w:p>
    <w:tbl>
      <w:tblPr>
        <w:tblStyle w:val="TableGrid"/>
        <w:tblW w:type="auto" w:w="0"/>
        <w:tblLook w:firstColumn="1" w:firstRow="1" w:lastColumn="0" w:lastRow="0" w:noHBand="0" w:noVBand="1" w:val="04A0"/>
      </w:tblPr>
      <w:tblGrid>
        <w:gridCol w:w="4968"/>
        <w:gridCol w:w="4968"/>
      </w:tblGrid>
      <w:tr>
        <w:tc>
          <w:tcPr>
            <w:tcW w:type="dxa" w:w="4968"/>
            <w:shd w:fill="0F2E4E"/>
          </w:tcPr>
          <w:p>
            <w:r>
              <w:rPr>
                <w:b/>
                <w:color w:val="FFFFFF"/>
              </w:rPr>
              <w:t>Section</w:t>
            </w:r>
          </w:p>
        </w:tc>
        <w:tc>
          <w:tcPr>
            <w:tcW w:type="dxa" w:w="4968"/>
            <w:shd w:fill="0F2E4E"/>
          </w:tcPr>
          <w:p>
            <w:r>
              <w:rPr>
                <w:b/>
                <w:color w:val="FFFFFF"/>
              </w:rPr>
              <w:t>Why it matters</w:t>
            </w:r>
          </w:p>
        </w:tc>
      </w:tr>
      <w:tr>
        <w:tc>
          <w:tcPr>
            <w:tcW w:type="dxa" w:w="4968"/>
            <w:tcMar>
              <w:top w:w="80" w:type="dxa"/>
              <w:start w:w="80" w:type="dxa"/>
              <w:bottom w:w="80" w:type="dxa"/>
              <w:end w:w="80" w:type="dxa"/>
            </w:tcMar>
          </w:tcPr>
          <w:p>
            <w:r>
              <w:t>1. Purpose and scope</w:t>
            </w:r>
          </w:p>
        </w:tc>
        <w:tc>
          <w:tcPr>
            <w:tcW w:type="dxa" w:w="4968"/>
            <w:tcMar>
              <w:top w:w="80" w:type="dxa"/>
              <w:start w:w="80" w:type="dxa"/>
              <w:bottom w:w="80" w:type="dxa"/>
              <w:end w:w="80" w:type="dxa"/>
            </w:tcMar>
          </w:tcPr>
          <w:p>
            <w:r>
              <w:t>Defines data-protection, backup, and recovery expectations that are especially relevant for SaaS and service operators.</w:t>
            </w:r>
          </w:p>
        </w:tc>
      </w:tr>
      <w:tr>
        <w:tc>
          <w:tcPr>
            <w:tcW w:type="dxa" w:w="4968"/>
            <w:tcMar>
              <w:top w:w="80" w:type="dxa"/>
              <w:start w:w="80" w:type="dxa"/>
              <w:bottom w:w="80" w:type="dxa"/>
              <w:end w:w="80" w:type="dxa"/>
            </w:tcMar>
          </w:tcPr>
          <w:p>
            <w:r>
              <w:t>2. Baseline control set</w:t>
            </w:r>
          </w:p>
        </w:tc>
        <w:tc>
          <w:tcPr>
            <w:tcW w:type="dxa" w:w="4968"/>
            <w:tcMar>
              <w:top w:w="80" w:type="dxa"/>
              <w:start w:w="80" w:type="dxa"/>
              <w:bottom w:w="80" w:type="dxa"/>
              <w:end w:w="80" w:type="dxa"/>
            </w:tcMar>
          </w:tcPr>
          <w:p>
            <w:r>
              <w:t>Documents the must-have controls.</w:t>
            </w:r>
          </w:p>
        </w:tc>
      </w:tr>
      <w:tr>
        <w:tc>
          <w:tcPr>
            <w:tcW w:type="dxa" w:w="4968"/>
            <w:tcMar>
              <w:top w:w="80" w:type="dxa"/>
              <w:start w:w="80" w:type="dxa"/>
              <w:bottom w:w="80" w:type="dxa"/>
              <w:end w:w="80" w:type="dxa"/>
            </w:tcMar>
          </w:tcPr>
          <w:p>
            <w:r>
              <w:t>3. Evidence and testing</w:t>
            </w:r>
          </w:p>
        </w:tc>
        <w:tc>
          <w:tcPr>
            <w:tcW w:type="dxa" w:w="4968"/>
            <w:tcMar>
              <w:top w:w="80" w:type="dxa"/>
              <w:start w:w="80" w:type="dxa"/>
              <w:bottom w:w="80" w:type="dxa"/>
              <w:end w:w="80" w:type="dxa"/>
            </w:tcMar>
          </w:tcPr>
          <w:p>
            <w:r>
              <w:t>Shows what an auditor or customer assessor would ask for.</w:t>
            </w:r>
          </w:p>
        </w:tc>
      </w:tr>
      <w:tr>
        <w:tc>
          <w:tcPr>
            <w:tcW w:type="dxa" w:w="4968"/>
            <w:tcMar>
              <w:top w:w="80" w:type="dxa"/>
              <w:start w:w="80" w:type="dxa"/>
              <w:bottom w:w="80" w:type="dxa"/>
              <w:end w:w="80" w:type="dxa"/>
            </w:tcMar>
          </w:tcPr>
          <w:p>
            <w:r>
              <w:t>4. Product-security relevance</w:t>
            </w:r>
          </w:p>
        </w:tc>
        <w:tc>
          <w:tcPr>
            <w:tcW w:type="dxa" w:w="4968"/>
            <w:tcMar>
              <w:top w:w="80" w:type="dxa"/>
              <w:start w:w="80" w:type="dxa"/>
              <w:bottom w:w="80" w:type="dxa"/>
              <w:end w:w="80" w:type="dxa"/>
            </w:tcMar>
          </w:tcPr>
          <w:p>
            <w:r>
              <w:t>Connects operations back to customer trust.</w:t>
            </w:r>
          </w:p>
        </w:tc>
      </w:tr>
    </w:tbl>
    <w:p>
      <w:pPr>
        <w:pStyle w:val="KBHeading1"/>
        <w:spacing w:after="120"/>
      </w:pPr>
      <w:r>
        <w:rPr>
          <w:i w:val="0"/>
        </w:rPr>
        <w:t>1. Purpose and scope</w:t>
      </w:r>
    </w:p>
    <w:p>
      <w:pPr>
        <w:spacing w:after="120"/>
      </w:pPr>
      <w:r>
        <w:rPr>
          <w:i w:val="0"/>
        </w:rPr>
        <w:t>This standard covers production-data backup strategy, restore testing, encryption at rest and in transit for backup material, access to backup systems, separation of duties for deletion and retention changes, and protection of customer data used in lower environments.</w:t>
      </w:r>
    </w:p>
    <w:p>
      <w:pPr>
        <w:pStyle w:val="ListBullet"/>
        <w:spacing w:after="40"/>
      </w:pPr>
      <w:r>
        <w:t>Backups are only useful if restores are practiced and evidenced.</w:t>
      </w:r>
    </w:p>
    <w:p>
      <w:pPr>
        <w:pStyle w:val="ListBullet"/>
        <w:spacing w:after="40"/>
      </w:pPr>
      <w:r>
        <w:t>Backup storage requires the same or stronger access control than primary systems.</w:t>
      </w:r>
    </w:p>
    <w:p>
      <w:pPr>
        <w:pStyle w:val="ListBullet"/>
        <w:spacing w:after="40"/>
      </w:pPr>
      <w:r>
        <w:t>Production data copied into non-production environments must be minimized, masked, or explicitly approved.</w:t>
      </w:r>
    </w:p>
    <w:p>
      <w:pPr>
        <w:pStyle w:val="KBHeading1"/>
        <w:spacing w:after="120"/>
      </w:pPr>
      <w:r>
        <w:rPr>
          <w:i w:val="0"/>
        </w:rPr>
        <w:t>2. Baseline control set</w:t>
      </w:r>
    </w:p>
    <w:p>
      <w:pPr>
        <w:pStyle w:val="ListBullet"/>
        <w:spacing w:after="40"/>
      </w:pPr>
      <w:r>
        <w:t>Defined backup frequency and retention by system criticality</w:t>
      </w:r>
    </w:p>
    <w:p>
      <w:pPr>
        <w:pStyle w:val="ListBullet"/>
        <w:spacing w:after="40"/>
      </w:pPr>
      <w:r>
        <w:t>Encryption for backup storage and transport</w:t>
      </w:r>
    </w:p>
    <w:p>
      <w:pPr>
        <w:pStyle w:val="ListBullet"/>
        <w:spacing w:after="40"/>
      </w:pPr>
      <w:r>
        <w:t>Multi-party approval or strong controls for retention-policy changes and destructive operations</w:t>
      </w:r>
    </w:p>
    <w:p>
      <w:pPr>
        <w:pStyle w:val="ListBullet"/>
        <w:spacing w:after="40"/>
      </w:pPr>
      <w:r>
        <w:t>Periodic restore validation with time-to-restore evidence</w:t>
      </w:r>
    </w:p>
    <w:p>
      <w:pPr>
        <w:pStyle w:val="ListBullet"/>
        <w:spacing w:after="40"/>
      </w:pPr>
      <w:r>
        <w:t>Separate monitoring for backup-job failures and restore-test failures</w:t>
      </w:r>
    </w:p>
    <w:p>
      <w:pPr>
        <w:pStyle w:val="KBHeading1"/>
        <w:spacing w:after="120"/>
      </w:pPr>
      <w:r>
        <w:rPr>
          <w:i w:val="0"/>
        </w:rPr>
        <w:t>3. Evidence and testing</w:t>
      </w:r>
    </w:p>
    <w:p>
      <w:pPr>
        <w:pStyle w:val="ListBullet"/>
        <w:spacing w:after="40"/>
      </w:pPr>
      <w:r>
        <w:t>Backup policy and data classification mapping</w:t>
      </w:r>
    </w:p>
    <w:p>
      <w:pPr>
        <w:pStyle w:val="ListBullet"/>
        <w:spacing w:after="40"/>
      </w:pPr>
      <w:r>
        <w:t>Job history and success/failure evidence</w:t>
      </w:r>
    </w:p>
    <w:p>
      <w:pPr>
        <w:pStyle w:val="ListBullet"/>
        <w:spacing w:after="40"/>
      </w:pPr>
      <w:r>
        <w:t>Restore test records with target objectives and actual timings</w:t>
      </w:r>
    </w:p>
    <w:p>
      <w:pPr>
        <w:pStyle w:val="ListBullet"/>
        <w:spacing w:after="40"/>
      </w:pPr>
      <w:r>
        <w:t>Access review evidence for backup consoles and privileged operations</w:t>
      </w:r>
    </w:p>
    <w:p>
      <w:pPr>
        <w:pStyle w:val="ListBullet"/>
        <w:spacing w:after="40"/>
      </w:pPr>
      <w:r>
        <w:t>Exception records for systems outside the standard backup pattern</w:t>
      </w:r>
    </w:p>
    <w:p>
      <w:pPr>
        <w:pStyle w:val="KBHeading1"/>
        <w:spacing w:after="120"/>
      </w:pPr>
      <w:r>
        <w:rPr>
          <w:i w:val="0"/>
        </w:rPr>
        <w:t>4. Product-security relevance</w:t>
      </w:r>
    </w:p>
    <w:p>
      <w:pPr>
        <w:spacing w:after="120"/>
      </w:pPr>
      <w:r>
        <w:rPr>
          <w:i w:val="0"/>
        </w:rPr>
        <w:t>In a product context, backup and restore are not only platform operations. They are direct contributors to availability, resilience, customer assurance, and safe change management. Weak restore discipline can turn a moderate incident into a material customer-impact event.</w:t>
      </w:r>
    </w:p>
    <w:p>
      <w:pPr>
        <w:pStyle w:val="KBHeading1"/>
        <w:spacing w:after="120"/>
      </w:pPr>
      <w:r>
        <w:rPr>
          <w:i w:val="0"/>
        </w:rPr>
        <w:t>Approval and revision record</w:t>
      </w:r>
    </w:p>
    <w:tbl>
      <w:tblPr>
        <w:tblStyle w:val="TableGrid"/>
        <w:tblW w:type="auto" w:w="0"/>
        <w:tblLook w:firstColumn="1" w:firstRow="1" w:lastColumn="0" w:lastRow="0" w:noHBand="0" w:noVBand="1" w:val="04A0"/>
      </w:tblPr>
      <w:tblGrid>
        <w:gridCol w:w="2484"/>
        <w:gridCol w:w="2484"/>
        <w:gridCol w:w="2484"/>
        <w:gridCol w:w="2484"/>
      </w:tblGrid>
      <w:tr>
        <w:tc>
          <w:tcPr>
            <w:tcW w:type="dxa" w:w="2484"/>
            <w:shd w:fill="0F2E4E"/>
          </w:tcPr>
          <w:p>
            <w:r>
              <w:rPr>
                <w:b/>
                <w:color w:val="FFFFFF"/>
              </w:rPr>
              <w:t>Version</w:t>
            </w:r>
          </w:p>
        </w:tc>
        <w:tc>
          <w:tcPr>
            <w:tcW w:type="dxa" w:w="2484"/>
            <w:shd w:fill="0F2E4E"/>
          </w:tcPr>
          <w:p>
            <w:r>
              <w:rPr>
                <w:b/>
                <w:color w:val="FFFFFF"/>
              </w:rPr>
              <w:t>Date</w:t>
            </w:r>
          </w:p>
        </w:tc>
        <w:tc>
          <w:tcPr>
            <w:tcW w:type="dxa" w:w="2484"/>
            <w:shd w:fill="0F2E4E"/>
          </w:tcPr>
          <w:p>
            <w:r>
              <w:rPr>
                <w:b/>
                <w:color w:val="FFFFFF"/>
              </w:rPr>
              <w:t>Author / approver</w:t>
            </w:r>
          </w:p>
        </w:tc>
        <w:tc>
          <w:tcPr>
            <w:tcW w:type="dxa" w:w="2484"/>
            <w:shd w:fill="0F2E4E"/>
          </w:tcPr>
          <w:p>
            <w:r>
              <w:rPr>
                <w:b/>
                <w:color w:val="FFFFFF"/>
              </w:rPr>
              <w:t>Change summary</w:t>
            </w:r>
          </w:p>
        </w:tc>
      </w:tr>
      <w:tr>
        <w:tc>
          <w:tcPr>
            <w:tcW w:type="dxa" w:w="2484"/>
            <w:tcMar>
              <w:top w:w="80" w:type="dxa"/>
              <w:start w:w="80" w:type="dxa"/>
              <w:bottom w:w="80" w:type="dxa"/>
              <w:end w:w="80" w:type="dxa"/>
            </w:tcMar>
          </w:tcPr>
          <w:p>
            <w:r>
              <w:t>0.1</w:t>
            </w:r>
          </w:p>
        </w:tc>
        <w:tc>
          <w:tcPr>
            <w:tcW w:type="dxa" w:w="2484"/>
            <w:tcMar>
              <w:top w:w="80" w:type="dxa"/>
              <w:start w:w="80" w:type="dxa"/>
              <w:bottom w:w="80" w:type="dxa"/>
              <w:end w:w="80" w:type="dxa"/>
            </w:tcMar>
          </w:tcPr>
          <w:p>
            <w:r>
              <w:t>[YYYY-MM-DD]</w:t>
            </w:r>
          </w:p>
        </w:tc>
        <w:tc>
          <w:tcPr>
            <w:tcW w:type="dxa" w:w="2484"/>
            <w:tcMar>
              <w:top w:w="80" w:type="dxa"/>
              <w:start w:w="80" w:type="dxa"/>
              <w:bottom w:w="80" w:type="dxa"/>
              <w:end w:w="80" w:type="dxa"/>
            </w:tcMar>
          </w:tcPr>
          <w:p>
            <w:r>
              <w:t>[Name]</w:t>
            </w:r>
          </w:p>
        </w:tc>
        <w:tc>
          <w:tcPr>
            <w:tcW w:type="dxa" w:w="2484"/>
            <w:tcMar>
              <w:top w:w="80" w:type="dxa"/>
              <w:start w:w="80" w:type="dxa"/>
              <w:bottom w:w="80" w:type="dxa"/>
              <w:end w:w="80" w:type="dxa"/>
            </w:tcMar>
          </w:tcPr>
          <w:p>
            <w:r>
              <w:t>Initial illustrative skeleton</w:t>
            </w:r>
          </w:p>
        </w:tc>
      </w:tr>
      <w:tr>
        <w:tc>
          <w:tcPr>
            <w:tcW w:type="dxa" w:w="2484"/>
            <w:tcMar>
              <w:top w:w="80" w:type="dxa"/>
              <w:start w:w="80" w:type="dxa"/>
              <w:bottom w:w="80" w:type="dxa"/>
              <w:end w:w="80" w:type="dxa"/>
            </w:tcMar>
          </w:tcPr>
          <w:p>
            <w:r/>
          </w:p>
        </w:tc>
        <w:tc>
          <w:tcPr>
            <w:tcW w:type="dxa" w:w="2484"/>
            <w:tcMar>
              <w:top w:w="80" w:type="dxa"/>
              <w:start w:w="80" w:type="dxa"/>
              <w:bottom w:w="80" w:type="dxa"/>
              <w:end w:w="80" w:type="dxa"/>
            </w:tcMar>
          </w:tcPr>
          <w:p>
            <w:r/>
          </w:p>
        </w:tc>
        <w:tc>
          <w:tcPr>
            <w:tcW w:type="dxa" w:w="2484"/>
            <w:tcMar>
              <w:top w:w="80" w:type="dxa"/>
              <w:start w:w="80" w:type="dxa"/>
              <w:bottom w:w="80" w:type="dxa"/>
              <w:end w:w="80" w:type="dxa"/>
            </w:tcMar>
          </w:tcPr>
          <w:p>
            <w:r/>
          </w:p>
        </w:tc>
        <w:tc>
          <w:tcPr>
            <w:tcW w:type="dxa" w:w="2484"/>
            <w:tcMar>
              <w:top w:w="80" w:type="dxa"/>
              <w:start w:w="80" w:type="dxa"/>
              <w:bottom w:w="80" w:type="dxa"/>
              <w:end w:w="80" w:type="dxa"/>
            </w:tcMar>
          </w:tcPr>
          <w:p>
            <w:r/>
          </w:p>
        </w:tc>
      </w:tr>
      <w:tr>
        <w:tc>
          <w:tcPr>
            <w:tcW w:type="dxa" w:w="2484"/>
            <w:tcMar>
              <w:top w:w="80" w:type="dxa"/>
              <w:start w:w="80" w:type="dxa"/>
              <w:bottom w:w="80" w:type="dxa"/>
              <w:end w:w="80" w:type="dxa"/>
            </w:tcMar>
          </w:tcPr>
          <w:p>
            <w:r/>
          </w:p>
        </w:tc>
        <w:tc>
          <w:tcPr>
            <w:tcW w:type="dxa" w:w="2484"/>
            <w:tcMar>
              <w:top w:w="80" w:type="dxa"/>
              <w:start w:w="80" w:type="dxa"/>
              <w:bottom w:w="80" w:type="dxa"/>
              <w:end w:w="80" w:type="dxa"/>
            </w:tcMar>
          </w:tcPr>
          <w:p>
            <w:r/>
          </w:p>
        </w:tc>
        <w:tc>
          <w:tcPr>
            <w:tcW w:type="dxa" w:w="2484"/>
            <w:tcMar>
              <w:top w:w="80" w:type="dxa"/>
              <w:start w:w="80" w:type="dxa"/>
              <w:bottom w:w="80" w:type="dxa"/>
              <w:end w:w="80" w:type="dxa"/>
            </w:tcMar>
          </w:tcPr>
          <w:p>
            <w:r/>
          </w:p>
        </w:tc>
        <w:tc>
          <w:tcPr>
            <w:tcW w:type="dxa" w:w="2484"/>
            <w:tcMar>
              <w:top w:w="80" w:type="dxa"/>
              <w:start w:w="80" w:type="dxa"/>
              <w:bottom w:w="80" w:type="dxa"/>
              <w:end w:w="80" w:type="dxa"/>
            </w:tcMar>
          </w:tcPr>
          <w:p>
            <w:r/>
          </w:p>
        </w:tc>
      </w:tr>
    </w:tbl>
    <w:sectPr w:rsidR="00FC693F" w:rsidRPr="0006063C" w:rsidSect="00034616">
      <w:headerReference w:type="default" r:id="rId9"/>
      <w:footerReference w:type="default" r:id="rId10"/>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6"/>
      </w:rPr>
      <w:t xml:space="preserve">Ivan Piskunov (c) — Illustrative template for adaptation by the organization — Page </w:t>
    </w:r>
    <w:fldSimple w:instr="PAG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sz w:val="16"/>
      </w:rPr>
      <w:t>Product Security Controlled Template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KBTitle">
    <w:name w:val="KB Title"/>
    <w:basedOn w:val="Title"/>
    <w:rPr>
      <w:rFonts w:ascii="Aptos Display" w:hAnsi="Aptos Display"/>
      <w:b/>
      <w:color w:val="0F2E4E"/>
      <w:sz w:val="44"/>
    </w:rPr>
  </w:style>
  <w:style w:type="paragraph" w:customStyle="1" w:styleId="KBHeading1">
    <w:name w:val="KB Heading 1"/>
    <w:basedOn w:val="Heading1"/>
    <w:rPr>
      <w:rFonts w:ascii="Aptos" w:hAnsi="Aptos"/>
      <w:b/>
      <w:color w:val="0F2E4E"/>
      <w:sz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