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BSIMM Self-Assessment Example Report</w:t>
      </w:r>
    </w:p>
    <w:p>
      <w:pPr>
        <w:jc w:val="center"/>
      </w:pPr>
      <w:r>
        <w:rPr>
          <w:color w:val="646464"/>
          <w:sz w:val="22"/>
        </w:rPr>
        <w:t>Illustrative sample report for adaptation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D9EAF7"/>
            <w:vAlign w:val="center"/>
          </w:tcPr>
          <w:p>
            <w:r>
              <w:rPr>
                <w:sz w:val="20"/>
              </w:rPr>
              <w:t>Prepared for</w:t>
            </w:r>
          </w:p>
        </w:tc>
        <w:tc>
          <w:tcPr>
            <w:tcW w:type="dxa" w:w="4986"/>
            <w:vAlign w:val="center"/>
          </w:tcPr>
          <w:p>
            <w:r>
              <w:rPr>
                <w:sz w:val="20"/>
              </w:rPr>
              <w:t>Example Product Security Program</w:t>
            </w:r>
          </w:p>
        </w:tc>
      </w:tr>
      <w:tr>
        <w:tc>
          <w:tcPr>
            <w:tcW w:type="dxa" w:w="4986"/>
            <w:shd w:fill="D9EAF7"/>
            <w:vAlign w:val="center"/>
          </w:tcPr>
          <w:p>
            <w:r>
              <w:rPr>
                <w:sz w:val="20"/>
              </w:rPr>
              <w:t>Prepared by</w:t>
            </w:r>
          </w:p>
        </w:tc>
        <w:tc>
          <w:tcPr>
            <w:tcW w:type="dxa" w:w="4986"/>
            <w:vAlign w:val="center"/>
          </w:tcPr>
          <w:p>
            <w:r>
              <w:rPr>
                <w:sz w:val="20"/>
              </w:rPr>
              <w:t>OpenAI sample artifact</w:t>
            </w:r>
          </w:p>
        </w:tc>
      </w:tr>
      <w:tr>
        <w:tc>
          <w:tcPr>
            <w:tcW w:type="dxa" w:w="4986"/>
            <w:shd w:fill="D9EAF7"/>
            <w:vAlign w:val="center"/>
          </w:tcPr>
          <w:p>
            <w:r>
              <w:rPr>
                <w:sz w:val="20"/>
              </w:rPr>
              <w:t>Methodology</w:t>
            </w:r>
          </w:p>
        </w:tc>
        <w:tc>
          <w:tcPr>
            <w:tcW w:type="dxa" w:w="4986"/>
            <w:vAlign w:val="center"/>
          </w:tcPr>
          <w:p>
            <w:r>
              <w:rPr>
                <w:sz w:val="20"/>
              </w:rPr>
              <w:t>Illustrative self-assessment example</w:t>
            </w:r>
          </w:p>
        </w:tc>
      </w:tr>
      <w:tr>
        <w:tc>
          <w:tcPr>
            <w:tcW w:type="dxa" w:w="4986"/>
            <w:shd w:fill="D9EAF7"/>
            <w:vAlign w:val="center"/>
          </w:tcPr>
          <w:p>
            <w:r>
              <w:rPr>
                <w:sz w:val="20"/>
              </w:rPr>
              <w:t>Document status</w:t>
            </w:r>
          </w:p>
        </w:tc>
        <w:tc>
          <w:tcPr>
            <w:tcW w:type="dxa" w:w="4986"/>
            <w:vAlign w:val="center"/>
          </w:tcPr>
          <w:p>
            <w:r>
              <w:rPr>
                <w:sz w:val="20"/>
              </w:rPr>
              <w:t>Sample / draft for adaptation</w:t>
            </w:r>
          </w:p>
        </w:tc>
      </w:tr>
      <w:tr>
        <w:tc>
          <w:tcPr>
            <w:tcW w:type="dxa" w:w="4986"/>
            <w:shd w:fill="D9EAF7"/>
            <w:vAlign w:val="center"/>
          </w:tcPr>
          <w:p>
            <w:r>
              <w:rPr>
                <w:sz w:val="20"/>
              </w:rPr>
              <w:t>Date</w:t>
            </w:r>
          </w:p>
        </w:tc>
        <w:tc>
          <w:tcPr>
            <w:tcW w:type="dxa" w:w="4986"/>
            <w:vAlign w:val="center"/>
          </w:tcPr>
          <w:p>
            <w:r>
              <w:rPr>
                <w:sz w:val="20"/>
              </w:rPr>
              <w:t>2026-04-02</w:t>
            </w:r>
          </w:p>
        </w:tc>
      </w:tr>
    </w:tbl>
    <w:p>
      <w:r>
        <w:br w:type="page"/>
      </w:r>
    </w:p>
    <w:p>
      <w:pPr>
        <w:pStyle w:val="Heading1"/>
      </w:pPr>
      <w:r>
        <w:t>1. Executive Summary</w:t>
      </w:r>
    </w:p>
    <w:p>
      <w:r>
        <w:t>This sample report shows how an organization might communicate an internal BSIMM-style self-assessment. The example uses current public BSIMM terminology and an illustrative maturity snapshot aligned to observed practices across governance, intelligence, SSDL touchpoints, and deployment. The example overall maturity indicator is 2.23/3.0.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EF5FB"/>
          </w:tcPr>
          <w:p>
            <w:r>
              <w:rPr>
                <w:i/>
                <w:sz w:val="20"/>
              </w:rPr>
              <w:t>Source baseline: public BSIMM overview and BSIMM16 public materials. This artifact is a demonstrative sample, not an official Black Duck/Synopsys deliverable.</w:t>
            </w:r>
          </w:p>
        </w:tc>
      </w:tr>
    </w:tbl>
    <w:p>
      <w:pPr>
        <w:pStyle w:val="Heading2"/>
      </w:pPr>
      <w:r>
        <w:t>Program Snapshot</w:t>
      </w:r>
    </w:p>
    <w:p>
      <w:pPr>
        <w:pStyle w:val="ListBullet"/>
      </w:pPr>
      <w:r>
        <w:t>The software security group is centralized with embedded partner leads in platform and product engineering.</w:t>
      </w:r>
    </w:p>
    <w:p>
      <w:pPr>
        <w:pStyle w:val="ListBullet"/>
      </w:pPr>
      <w:r>
        <w:t>Most modern services inherit pipeline, branch, and cloud guardrails from platform engineering.</w:t>
      </w:r>
    </w:p>
    <w:p>
      <w:pPr>
        <w:pStyle w:val="ListBullet"/>
      </w:pPr>
      <w:r>
        <w:t>Legacy products rely more on exception handling and manual review than on paved-road controls.</w:t>
      </w:r>
    </w:p>
    <w:p>
      <w:pPr>
        <w:pStyle w:val="Heading2"/>
      </w:pPr>
      <w:r>
        <w:t>Observed Strengths</w:t>
      </w:r>
    </w:p>
    <w:p>
      <w:pPr>
        <w:pStyle w:val="ListBullet"/>
      </w:pPr>
      <w:r>
        <w:t>High signal in code review and pipeline guardrails.</w:t>
      </w:r>
    </w:p>
    <w:p>
      <w:pPr>
        <w:pStyle w:val="ListBullet"/>
      </w:pPr>
      <w:r>
        <w:t>Documented standards and repeatable engineering controls.</w:t>
      </w:r>
    </w:p>
    <w:p>
      <w:pPr>
        <w:pStyle w:val="ListBullet"/>
      </w:pPr>
      <w:r>
        <w:t>Strong environment security on cloud and build platforms.</w:t>
      </w:r>
    </w:p>
    <w:p>
      <w:pPr>
        <w:pStyle w:val="Heading2"/>
      </w:pPr>
      <w:r>
        <w:t>Observed Gaps</w:t>
      </w:r>
    </w:p>
    <w:p>
      <w:pPr>
        <w:pStyle w:val="ListBullet"/>
      </w:pPr>
      <w:r>
        <w:t>Penetration testing and attack-model coverage are not yet scaled evenly.</w:t>
      </w:r>
    </w:p>
    <w:p>
      <w:pPr>
        <w:pStyle w:val="ListBullet"/>
      </w:pPr>
      <w:r>
        <w:t>Legacy platforms lag behind modern product teams in design integration.</w:t>
      </w:r>
    </w:p>
    <w:p>
      <w:pPr>
        <w:pStyle w:val="ListBullet"/>
      </w:pPr>
      <w:r>
        <w:t>Exception debt and vuln backlog burn-down need clearer executive thresholds.</w:t>
      </w:r>
    </w:p>
    <w:p>
      <w:pPr>
        <w:pStyle w:val="Heading2"/>
      </w:pPr>
      <w:r>
        <w:t>Recommended Focus Areas</w:t>
      </w:r>
    </w:p>
    <w:p>
      <w:pPr>
        <w:pStyle w:val="ListNumber"/>
      </w:pPr>
      <w:r>
        <w:t>Raise consistency of architecture analysis and attack modeling.</w:t>
      </w:r>
    </w:p>
    <w:p>
      <w:pPr>
        <w:pStyle w:val="ListNumber"/>
      </w:pPr>
      <w:r>
        <w:t>Tighten executive reporting around exposure, exceptions, and overdue critical fixes.</w:t>
      </w:r>
    </w:p>
    <w:p>
      <w:pPr>
        <w:pStyle w:val="ListNumber"/>
      </w:pPr>
      <w:r>
        <w:t>Expand self-service verification patterns without losing quality.</w:t>
      </w:r>
    </w:p>
    <w:p>
      <w:pPr>
        <w:pStyle w:val="Heading1"/>
      </w:pPr>
      <w:r>
        <w:t>2. Practice Summary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rPr>
          <w:tblHeader w:val="true"/>
        </w:trPr>
        <w:tc>
          <w:tcPr>
            <w:tcW w:type="dxa" w:w="2493"/>
            <w:shd w:fill="1F4E79"/>
            <w:vAlign w:val="center"/>
          </w:tcPr>
          <w:p>
            <w:r>
              <w:rPr>
                <w:b/>
                <w:color w:val="FFFFFF"/>
                <w:sz w:val="20"/>
              </w:rPr>
              <w:t>Domain</w:t>
            </w:r>
          </w:p>
        </w:tc>
        <w:tc>
          <w:tcPr>
            <w:tcW w:type="dxa" w:w="2493"/>
            <w:shd w:fill="1F4E79"/>
            <w:vAlign w:val="center"/>
          </w:tcPr>
          <w:p>
            <w:r>
              <w:rPr>
                <w:b/>
                <w:color w:val="FFFFFF"/>
                <w:sz w:val="20"/>
              </w:rPr>
              <w:t>Practice</w:t>
            </w:r>
          </w:p>
        </w:tc>
        <w:tc>
          <w:tcPr>
            <w:tcW w:type="dxa" w:w="2493"/>
            <w:shd w:fill="1F4E79"/>
            <w:vAlign w:val="center"/>
          </w:tcPr>
          <w:p>
            <w:r>
              <w:rPr>
                <w:b/>
                <w:color w:val="FFFFFF"/>
                <w:sz w:val="20"/>
              </w:rPr>
              <w:t>Example Score (0-3)</w:t>
            </w:r>
          </w:p>
        </w:tc>
        <w:tc>
          <w:tcPr>
            <w:tcW w:type="dxa" w:w="2493"/>
            <w:shd w:fill="1F4E79"/>
            <w:vAlign w:val="center"/>
          </w:tcPr>
          <w:p>
            <w:r>
              <w:rPr>
                <w:b/>
                <w:color w:val="FFFFFF"/>
                <w:sz w:val="20"/>
              </w:rPr>
              <w:t>Illustrative Observation</w:t>
            </w:r>
          </w:p>
        </w:tc>
      </w:tr>
      <w:tr>
        <w:tc>
          <w:tcPr>
            <w:tcW w:type="dxa" w:w="2493"/>
            <w:vAlign w:val="center"/>
          </w:tcPr>
          <w:p>
            <w:r>
              <w:rPr>
                <w:sz w:val="19"/>
              </w:rPr>
              <w:t>Governance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Strategy and Metrics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2.5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Metrics exist for coverage, MTTR, and review gates; board narrative could be tighter.</w:t>
            </w:r>
          </w:p>
        </w:tc>
      </w:tr>
      <w:tr>
        <w:tc>
          <w:tcPr>
            <w:tcW w:type="dxa" w:w="2493"/>
            <w:vAlign w:val="center"/>
          </w:tcPr>
          <w:p>
            <w:r>
              <w:rPr>
                <w:sz w:val="19"/>
              </w:rPr>
              <w:t>Governance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Compliance and Policy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2.3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Policies are defined and periodically reviewed; evidence automation is partial.</w:t>
            </w:r>
          </w:p>
        </w:tc>
      </w:tr>
      <w:tr>
        <w:tc>
          <w:tcPr>
            <w:tcW w:type="dxa" w:w="2493"/>
            <w:vAlign w:val="center"/>
          </w:tcPr>
          <w:p>
            <w:r>
              <w:rPr>
                <w:sz w:val="19"/>
              </w:rPr>
              <w:t>Governance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Training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2.0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Champions network exists but role-based depth varies by org.</w:t>
            </w:r>
          </w:p>
        </w:tc>
      </w:tr>
      <w:tr>
        <w:tc>
          <w:tcPr>
            <w:tcW w:type="dxa" w:w="2493"/>
            <w:vAlign w:val="center"/>
          </w:tcPr>
          <w:p>
            <w:r>
              <w:rPr>
                <w:sz w:val="19"/>
              </w:rPr>
              <w:t>Intelligence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Attack Models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2.1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Threat models exist for crown jewels; adversary simulation is selective.</w:t>
            </w:r>
          </w:p>
        </w:tc>
      </w:tr>
      <w:tr>
        <w:tc>
          <w:tcPr>
            <w:tcW w:type="dxa" w:w="2493"/>
            <w:vAlign w:val="center"/>
          </w:tcPr>
          <w:p>
            <w:r>
              <w:rPr>
                <w:sz w:val="19"/>
              </w:rPr>
              <w:t>Intelligence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Security Features &amp; Design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2.2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Reusable authn/authz and logging patterns exist, but crypto guidance needs consolidation.</w:t>
            </w:r>
          </w:p>
        </w:tc>
      </w:tr>
      <w:tr>
        <w:tc>
          <w:tcPr>
            <w:tcW w:type="dxa" w:w="2493"/>
            <w:vAlign w:val="center"/>
          </w:tcPr>
          <w:p>
            <w:r>
              <w:rPr>
                <w:sz w:val="19"/>
              </w:rPr>
              <w:t>Intelligence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Standards and Requirements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2.4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Standards are well documented; enforcement is stronger in modern platforms than legacy.</w:t>
            </w:r>
          </w:p>
        </w:tc>
      </w:tr>
      <w:tr>
        <w:tc>
          <w:tcPr>
            <w:tcW w:type="dxa" w:w="2493"/>
            <w:vAlign w:val="center"/>
          </w:tcPr>
          <w:p>
            <w:r>
              <w:rPr>
                <w:sz w:val="19"/>
              </w:rPr>
              <w:t>SSDL Touchpoints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Architecture Analysis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2.0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Architecture review is effective when triggered, but not all changes are routed through it.</w:t>
            </w:r>
          </w:p>
        </w:tc>
      </w:tr>
      <w:tr>
        <w:tc>
          <w:tcPr>
            <w:tcW w:type="dxa" w:w="2493"/>
            <w:vAlign w:val="center"/>
          </w:tcPr>
          <w:p>
            <w:r>
              <w:rPr>
                <w:sz w:val="19"/>
              </w:rPr>
              <w:t>SSDL Touchpoints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Code Review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2.5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Strong review practice with scoped security heuristics and diff-based triage.</w:t>
            </w:r>
          </w:p>
        </w:tc>
      </w:tr>
      <w:tr>
        <w:tc>
          <w:tcPr>
            <w:tcW w:type="dxa" w:w="2493"/>
            <w:vAlign w:val="center"/>
          </w:tcPr>
          <w:p>
            <w:r>
              <w:rPr>
                <w:sz w:val="19"/>
              </w:rPr>
              <w:t>SSDL Touchpoints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Security Testing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2.3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Tooling is good; manual abuse-case testing is still capacity constrained.</w:t>
            </w:r>
          </w:p>
        </w:tc>
      </w:tr>
      <w:tr>
        <w:tc>
          <w:tcPr>
            <w:tcW w:type="dxa" w:w="2493"/>
            <w:vAlign w:val="center"/>
          </w:tcPr>
          <w:p>
            <w:r>
              <w:rPr>
                <w:sz w:val="19"/>
              </w:rPr>
              <w:t>Deployment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Penetration Testing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1.9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Targeted testing exists for major launches; cadence is below ambition.</w:t>
            </w:r>
          </w:p>
        </w:tc>
      </w:tr>
      <w:tr>
        <w:tc>
          <w:tcPr>
            <w:tcW w:type="dxa" w:w="2493"/>
            <w:vAlign w:val="center"/>
          </w:tcPr>
          <w:p>
            <w:r>
              <w:rPr>
                <w:sz w:val="19"/>
              </w:rPr>
              <w:t>Deployment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Software Environment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2.4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Cloud guardrails and runner controls are solid; ephemeral environments need more coverage.</w:t>
            </w:r>
          </w:p>
        </w:tc>
      </w:tr>
      <w:tr>
        <w:tc>
          <w:tcPr>
            <w:tcW w:type="dxa" w:w="2493"/>
            <w:vAlign w:val="center"/>
          </w:tcPr>
          <w:p>
            <w:r>
              <w:rPr>
                <w:sz w:val="19"/>
              </w:rPr>
              <w:t>Deployment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Configuration Management &amp; Vulnerability Management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2.2</w:t>
            </w:r>
          </w:p>
        </w:tc>
        <w:tc>
          <w:tcPr>
            <w:tcW w:type="dxa" w:w="2493"/>
            <w:vAlign w:val="center"/>
          </w:tcPr>
          <w:p>
            <w:r>
              <w:rPr>
                <w:sz w:val="19"/>
              </w:rPr>
              <w:t>Inventory and SLA tracking are in place; exception debt remains visible.</w:t>
            </w:r>
          </w:p>
        </w:tc>
      </w:tr>
    </w:tbl>
    <w:p>
      <w:pPr>
        <w:pStyle w:val="Heading1"/>
      </w:pPr>
      <w:r>
        <w:t>3. Sample Findings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rPr>
          <w:tblHeader w:val="true"/>
        </w:trPr>
        <w:tc>
          <w:tcPr>
            <w:tcW w:type="dxa" w:w="1994"/>
            <w:shd w:fill="1F4E79"/>
            <w:vAlign w:val="center"/>
          </w:tcPr>
          <w:p>
            <w:r>
              <w:rPr>
                <w:b/>
                <w:color w:val="FFFFFF"/>
                <w:sz w:val="20"/>
              </w:rPr>
              <w:t>ID</w:t>
            </w:r>
          </w:p>
        </w:tc>
        <w:tc>
          <w:tcPr>
            <w:tcW w:type="dxa" w:w="1994"/>
            <w:shd w:fill="1F4E79"/>
            <w:vAlign w:val="center"/>
          </w:tcPr>
          <w:p>
            <w:r>
              <w:rPr>
                <w:b/>
                <w:color w:val="FFFFFF"/>
                <w:sz w:val="20"/>
              </w:rPr>
              <w:t>Practice Area</w:t>
            </w:r>
          </w:p>
        </w:tc>
        <w:tc>
          <w:tcPr>
            <w:tcW w:type="dxa" w:w="1994"/>
            <w:shd w:fill="1F4E79"/>
            <w:vAlign w:val="center"/>
          </w:tcPr>
          <w:p>
            <w:r>
              <w:rPr>
                <w:b/>
                <w:color w:val="FFFFFF"/>
                <w:sz w:val="20"/>
              </w:rPr>
              <w:t>Risk</w:t>
            </w:r>
          </w:p>
        </w:tc>
        <w:tc>
          <w:tcPr>
            <w:tcW w:type="dxa" w:w="1994"/>
            <w:shd w:fill="1F4E79"/>
            <w:vAlign w:val="center"/>
          </w:tcPr>
          <w:p>
            <w:r>
              <w:rPr>
                <w:b/>
                <w:color w:val="FFFFFF"/>
                <w:sz w:val="20"/>
              </w:rPr>
              <w:t>Finding</w:t>
            </w:r>
          </w:p>
        </w:tc>
        <w:tc>
          <w:tcPr>
            <w:tcW w:type="dxa" w:w="1994"/>
            <w:shd w:fill="1F4E79"/>
            <w:vAlign w:val="center"/>
          </w:tcPr>
          <w:p>
            <w:r>
              <w:rPr>
                <w:b/>
                <w:color w:val="FFFFFF"/>
                <w:sz w:val="20"/>
              </w:rPr>
              <w:t>Recommended Action</w:t>
            </w:r>
          </w:p>
        </w:tc>
      </w:tr>
      <w:tr>
        <w:tc>
          <w:tcPr>
            <w:tcW w:type="dxa" w:w="1994"/>
            <w:vAlign w:val="center"/>
          </w:tcPr>
          <w:p>
            <w:r>
              <w:rPr>
                <w:sz w:val="19"/>
              </w:rPr>
              <w:t>BSIMM-01</w:t>
            </w:r>
          </w:p>
        </w:tc>
        <w:tc>
          <w:tcPr>
            <w:tcW w:type="dxa" w:w="1994"/>
            <w:vAlign w:val="center"/>
          </w:tcPr>
          <w:p>
            <w:r>
              <w:rPr>
                <w:sz w:val="19"/>
              </w:rPr>
              <w:t>Attack Models</w:t>
            </w:r>
          </w:p>
        </w:tc>
        <w:tc>
          <w:tcPr>
            <w:tcW w:type="dxa" w:w="1994"/>
            <w:vAlign w:val="center"/>
          </w:tcPr>
          <w:p>
            <w:r>
              <w:rPr>
                <w:sz w:val="19"/>
              </w:rPr>
              <w:t>Medium</w:t>
            </w:r>
          </w:p>
        </w:tc>
        <w:tc>
          <w:tcPr>
            <w:tcW w:type="dxa" w:w="1994"/>
            <w:vAlign w:val="center"/>
          </w:tcPr>
          <w:p>
            <w:r>
              <w:rPr>
                <w:sz w:val="19"/>
              </w:rPr>
              <w:t>Adversary-centric design analysis is used selectively and not yet normal for high-change product areas.</w:t>
            </w:r>
          </w:p>
        </w:tc>
        <w:tc>
          <w:tcPr>
            <w:tcW w:type="dxa" w:w="1994"/>
            <w:vAlign w:val="center"/>
          </w:tcPr>
          <w:p>
            <w:r>
              <w:rPr>
                <w:sz w:val="19"/>
              </w:rPr>
              <w:t>Define attack-model triggers and lightweight review expectations for new privileged workflows, multi-tenant boundaries, and external integrations.</w:t>
            </w:r>
          </w:p>
        </w:tc>
      </w:tr>
      <w:tr>
        <w:tc>
          <w:tcPr>
            <w:tcW w:type="dxa" w:w="1994"/>
            <w:vAlign w:val="center"/>
          </w:tcPr>
          <w:p>
            <w:r>
              <w:rPr>
                <w:sz w:val="19"/>
              </w:rPr>
              <w:t>BSIMM-02</w:t>
            </w:r>
          </w:p>
        </w:tc>
        <w:tc>
          <w:tcPr>
            <w:tcW w:type="dxa" w:w="1994"/>
            <w:vAlign w:val="center"/>
          </w:tcPr>
          <w:p>
            <w:r>
              <w:rPr>
                <w:sz w:val="19"/>
              </w:rPr>
              <w:t>Penetration Testing</w:t>
            </w:r>
          </w:p>
        </w:tc>
        <w:tc>
          <w:tcPr>
            <w:tcW w:type="dxa" w:w="1994"/>
            <w:vAlign w:val="center"/>
          </w:tcPr>
          <w:p>
            <w:r>
              <w:rPr>
                <w:sz w:val="19"/>
              </w:rPr>
              <w:t>Medium</w:t>
            </w:r>
          </w:p>
        </w:tc>
        <w:tc>
          <w:tcPr>
            <w:tcW w:type="dxa" w:w="1994"/>
            <w:vAlign w:val="center"/>
          </w:tcPr>
          <w:p>
            <w:r>
              <w:rPr>
                <w:sz w:val="19"/>
              </w:rPr>
              <w:t>Manual testing is concentrated around large launches; business-as-usual releases receive inconsistent coverage.</w:t>
            </w:r>
          </w:p>
        </w:tc>
        <w:tc>
          <w:tcPr>
            <w:tcW w:type="dxa" w:w="1994"/>
            <w:vAlign w:val="center"/>
          </w:tcPr>
          <w:p>
            <w:r>
              <w:rPr>
                <w:sz w:val="19"/>
              </w:rPr>
              <w:t>Adopt a targeted campaign model that combines risk-based pentesting, DAST, and abuse-case testing for materially changed flows.</w:t>
            </w:r>
          </w:p>
        </w:tc>
      </w:tr>
      <w:tr>
        <w:tc>
          <w:tcPr>
            <w:tcW w:type="dxa" w:w="1994"/>
            <w:vAlign w:val="center"/>
          </w:tcPr>
          <w:p>
            <w:r>
              <w:rPr>
                <w:sz w:val="19"/>
              </w:rPr>
              <w:t>BSIMM-03</w:t>
            </w:r>
          </w:p>
        </w:tc>
        <w:tc>
          <w:tcPr>
            <w:tcW w:type="dxa" w:w="1994"/>
            <w:vAlign w:val="center"/>
          </w:tcPr>
          <w:p>
            <w:r>
              <w:rPr>
                <w:sz w:val="19"/>
              </w:rPr>
              <w:t>Configuration and Vulnerability Management</w:t>
            </w:r>
          </w:p>
        </w:tc>
        <w:tc>
          <w:tcPr>
            <w:tcW w:type="dxa" w:w="1994"/>
            <w:vAlign w:val="center"/>
          </w:tcPr>
          <w:p>
            <w:r>
              <w:rPr>
                <w:sz w:val="19"/>
              </w:rPr>
              <w:t>High</w:t>
            </w:r>
          </w:p>
        </w:tc>
        <w:tc>
          <w:tcPr>
            <w:tcW w:type="dxa" w:w="1994"/>
            <w:vAlign w:val="center"/>
          </w:tcPr>
          <w:p>
            <w:r>
              <w:rPr>
                <w:sz w:val="19"/>
              </w:rPr>
              <w:t>Critical vulnerability exceptions lack a standardized executive threshold and aging narrative.</w:t>
            </w:r>
          </w:p>
        </w:tc>
        <w:tc>
          <w:tcPr>
            <w:tcW w:type="dxa" w:w="1994"/>
            <w:vAlign w:val="center"/>
          </w:tcPr>
          <w:p>
            <w:r>
              <w:rPr>
                <w:sz w:val="19"/>
              </w:rPr>
              <w:t>Define exception SLAs, re-approval cadence, and executive escalation for unresolved critical items.</w:t>
            </w:r>
          </w:p>
        </w:tc>
      </w:tr>
    </w:tbl>
    <w:p>
      <w:pPr>
        <w:pStyle w:val="Heading1"/>
      </w:pPr>
      <w:r>
        <w:t>4. Suggested Action Plan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tblHeader w:val="true"/>
        </w:trPr>
        <w:tc>
          <w:tcPr>
            <w:tcW w:type="dxa" w:w="4986"/>
            <w:shd w:fill="1F4E79"/>
            <w:vAlign w:val="center"/>
          </w:tcPr>
          <w:p>
            <w:r>
              <w:rPr>
                <w:b/>
                <w:color w:val="FFFFFF"/>
                <w:sz w:val="20"/>
              </w:rPr>
              <w:t>Time Horizon</w:t>
            </w:r>
          </w:p>
        </w:tc>
        <w:tc>
          <w:tcPr>
            <w:tcW w:type="dxa" w:w="4986"/>
            <w:shd w:fill="1F4E79"/>
            <w:vAlign w:val="center"/>
          </w:tcPr>
          <w:p>
            <w:r>
              <w:rPr>
                <w:b/>
                <w:color w:val="FFFFFF"/>
                <w:sz w:val="20"/>
              </w:rPr>
              <w:t>Illustrative Action</w:t>
            </w:r>
          </w:p>
        </w:tc>
      </w:tr>
      <w:tr>
        <w:tc>
          <w:tcPr>
            <w:tcW w:type="dxa" w:w="4986"/>
            <w:vAlign w:val="center"/>
          </w:tcPr>
          <w:p>
            <w:r>
              <w:rPr>
                <w:sz w:val="19"/>
              </w:rPr>
              <w:t>0-30 days</w:t>
            </w:r>
          </w:p>
        </w:tc>
        <w:tc>
          <w:tcPr>
            <w:tcW w:type="dxa" w:w="4986"/>
            <w:vAlign w:val="center"/>
          </w:tcPr>
          <w:p>
            <w:r>
              <w:rPr>
                <w:sz w:val="19"/>
              </w:rPr>
              <w:t>Publish common threshold definitions for critical and high-risk exceptions.</w:t>
            </w:r>
          </w:p>
        </w:tc>
      </w:tr>
      <w:tr>
        <w:tc>
          <w:tcPr>
            <w:tcW w:type="dxa" w:w="4986"/>
            <w:vAlign w:val="center"/>
          </w:tcPr>
          <w:p>
            <w:r>
              <w:rPr>
                <w:sz w:val="19"/>
              </w:rPr>
              <w:t>30-60 days</w:t>
            </w:r>
          </w:p>
        </w:tc>
        <w:tc>
          <w:tcPr>
            <w:tcW w:type="dxa" w:w="4986"/>
            <w:vAlign w:val="center"/>
          </w:tcPr>
          <w:p>
            <w:r>
              <w:rPr>
                <w:sz w:val="19"/>
              </w:rPr>
              <w:t>Expand architecture analysis and attack-model coverage to all internet-facing systems.</w:t>
            </w:r>
          </w:p>
        </w:tc>
      </w:tr>
      <w:tr>
        <w:tc>
          <w:tcPr>
            <w:tcW w:type="dxa" w:w="4986"/>
            <w:vAlign w:val="center"/>
          </w:tcPr>
          <w:p>
            <w:r>
              <w:rPr>
                <w:sz w:val="19"/>
              </w:rPr>
              <w:t>60-90 days</w:t>
            </w:r>
          </w:p>
        </w:tc>
        <w:tc>
          <w:tcPr>
            <w:tcW w:type="dxa" w:w="4986"/>
            <w:vAlign w:val="center"/>
          </w:tcPr>
          <w:p>
            <w:r>
              <w:rPr>
                <w:sz w:val="19"/>
              </w:rPr>
              <w:t>Improve penetration test targeting and create a standard way to record validation outcomes.</w:t>
            </w:r>
          </w:p>
        </w:tc>
      </w:tr>
      <w:tr>
        <w:tc>
          <w:tcPr>
            <w:tcW w:type="dxa" w:w="4986"/>
            <w:vAlign w:val="center"/>
          </w:tcPr>
          <w:p>
            <w:r>
              <w:rPr>
                <w:sz w:val="19"/>
              </w:rPr>
              <w:t>90-180 days</w:t>
            </w:r>
          </w:p>
        </w:tc>
        <w:tc>
          <w:tcPr>
            <w:tcW w:type="dxa" w:w="4986"/>
            <w:vAlign w:val="center"/>
          </w:tcPr>
          <w:p>
            <w:r>
              <w:rPr>
                <w:sz w:val="19"/>
              </w:rPr>
              <w:t>Close the gap between modern platform teams and legacy estates using standard control overlays.</w:t>
            </w:r>
          </w:p>
        </w:tc>
      </w:tr>
    </w:tbl>
    <w:p>
      <w:pPr>
        <w:pStyle w:val="Heading1"/>
      </w:pPr>
      <w:r>
        <w:t>5. References</w:t>
      </w:r>
    </w:p>
    <w:p>
      <w:pPr>
        <w:pStyle w:val="ListBullet"/>
      </w:pPr>
      <w:r>
        <w:t>https://www.bsimm.com/</w:t>
      </w:r>
    </w:p>
    <w:p>
      <w:pPr>
        <w:pStyle w:val="ListBullet"/>
      </w:pPr>
      <w:r>
        <w:t>https://www.blackduck.com/services/security-program/bsimm-maturity-model.html</w:t>
      </w:r>
    </w:p>
    <w:p>
      <w:pPr>
        <w:pStyle w:val="ListBullet"/>
      </w:pPr>
      <w:r>
        <w:t>https://news.synopsys.com/2023-12-05-BSIMM14-Report-Application-Security-Automation-Soars</w:t>
      </w:r>
    </w:p>
    <w:sectPr w:rsidR="00FC693F" w:rsidRPr="0006063C" w:rsidSect="00034616">
      <w:footerReference w:type="default" r:id="rId9"/>
      <w:pgSz w:w="12240" w:h="15840"/>
      <w:pgMar w:top="1247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t xml:space="preserve">Sample report | Page </w:t>
    </w:r>
    <w:r>
      <w:fldChar w:fldCharType="begin"/>
      <w:instrText xml:space="preserve"> PAGE </w:instrText>
      <w:fldChar w:fldCharType="separate"/>
      <w:t>1</w: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34495E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