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OWASP SAMM Self-Assessment Example Report</w:t>
      </w:r>
    </w:p>
    <w:p>
      <w:pPr>
        <w:jc w:val="center"/>
      </w:pPr>
      <w:r>
        <w:rPr>
          <w:color w:val="646464"/>
          <w:sz w:val="22"/>
        </w:rPr>
        <w:t>Illustrative sample report for adaptation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9EAF7"/>
            <w:vAlign w:val="center"/>
          </w:tcPr>
          <w:p>
            <w:r>
              <w:rPr>
                <w:sz w:val="20"/>
              </w:rPr>
              <w:t>Prepared for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20"/>
              </w:rPr>
              <w:t>Example Product Security Program</w:t>
            </w:r>
          </w:p>
        </w:tc>
      </w:tr>
      <w:tr>
        <w:tc>
          <w:tcPr>
            <w:tcW w:type="dxa" w:w="4986"/>
            <w:shd w:fill="D9EAF7"/>
            <w:vAlign w:val="center"/>
          </w:tcPr>
          <w:p>
            <w:r>
              <w:rPr>
                <w:sz w:val="20"/>
              </w:rPr>
              <w:t>Prepared by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20"/>
              </w:rPr>
              <w:t>OpenAI sample artifact</w:t>
            </w:r>
          </w:p>
        </w:tc>
      </w:tr>
      <w:tr>
        <w:tc>
          <w:tcPr>
            <w:tcW w:type="dxa" w:w="4986"/>
            <w:shd w:fill="D9EAF7"/>
            <w:vAlign w:val="center"/>
          </w:tcPr>
          <w:p>
            <w:r>
              <w:rPr>
                <w:sz w:val="20"/>
              </w:rPr>
              <w:t>Methodology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20"/>
              </w:rPr>
              <w:t>Illustrative self-assessment example</w:t>
            </w:r>
          </w:p>
        </w:tc>
      </w:tr>
      <w:tr>
        <w:tc>
          <w:tcPr>
            <w:tcW w:type="dxa" w:w="4986"/>
            <w:shd w:fill="D9EAF7"/>
            <w:vAlign w:val="center"/>
          </w:tcPr>
          <w:p>
            <w:r>
              <w:rPr>
                <w:sz w:val="20"/>
              </w:rPr>
              <w:t>Document status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20"/>
              </w:rPr>
              <w:t>Sample / draft for adaptation</w:t>
            </w:r>
          </w:p>
        </w:tc>
      </w:tr>
      <w:tr>
        <w:tc>
          <w:tcPr>
            <w:tcW w:type="dxa" w:w="4986"/>
            <w:shd w:fill="D9EAF7"/>
            <w:vAlign w:val="center"/>
          </w:tcPr>
          <w:p>
            <w:r>
              <w:rPr>
                <w:sz w:val="20"/>
              </w:rPr>
              <w:t>Date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20"/>
              </w:rPr>
              <w:t>2026-04-02</w:t>
            </w:r>
          </w:p>
        </w:tc>
      </w:tr>
    </w:tbl>
    <w:p>
      <w:r>
        <w:br w:type="page"/>
      </w:r>
    </w:p>
    <w:p>
      <w:pPr>
        <w:pStyle w:val="Heading1"/>
      </w:pPr>
      <w:r>
        <w:t>1. Executive Summary</w:t>
      </w:r>
    </w:p>
    <w:p>
      <w:r>
        <w:t>This sample report demonstrates how a product security organization might summarize an internal self-assessment using the OWASP SAMM v2 model. The example assumes a multi-product engineering organization with centralized platform controls and partially federated product security ownership. The illustrative overall maturity score is 2.18/3.0.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EF5FB"/>
          </w:tcPr>
          <w:p>
            <w:r>
              <w:rPr>
                <w:i/>
                <w:sz w:val="20"/>
              </w:rPr>
              <w:t>Source baseline: OWASP SAMM project and model overview. This artifact is a demonstrative sample, not an official OWASP template.</w:t>
            </w:r>
          </w:p>
        </w:tc>
      </w:tr>
    </w:tbl>
    <w:p>
      <w:pPr>
        <w:pStyle w:val="Heading2"/>
      </w:pPr>
      <w:r>
        <w:t>Assessment Scope</w:t>
      </w:r>
    </w:p>
    <w:p>
      <w:pPr>
        <w:pStyle w:val="ListBullet"/>
      </w:pPr>
      <w:r>
        <w:t>In scope: product engineering, CI/CD, cloud and Kubernetes delivery controls, security review workflows, operational response practices.</w:t>
      </w:r>
    </w:p>
    <w:p>
      <w:pPr>
        <w:pStyle w:val="ListBullet"/>
      </w:pPr>
      <w:r>
        <w:t>Assessed units: example platform team, three product lines, and central product security function.</w:t>
      </w:r>
    </w:p>
    <w:p>
      <w:pPr>
        <w:pStyle w:val="ListBullet"/>
      </w:pPr>
      <w:r>
        <w:t>Method: document review, stakeholder interviews, evidence sampling, and workshop-based scoring.</w:t>
      </w:r>
    </w:p>
    <w:p>
      <w:pPr>
        <w:pStyle w:val="Heading2"/>
      </w:pPr>
      <w:r>
        <w:t>Key Strengths</w:t>
      </w:r>
    </w:p>
    <w:p>
      <w:pPr>
        <w:pStyle w:val="ListBullet"/>
      </w:pPr>
      <w:r>
        <w:t>CI policy guardrails and repository controls are consistently enforced.</w:t>
      </w:r>
    </w:p>
    <w:p>
      <w:pPr>
        <w:pStyle w:val="ListBullet"/>
      </w:pPr>
      <w:r>
        <w:t>Cloud and Kubernetes baseline configuration management is established.</w:t>
      </w:r>
    </w:p>
    <w:p>
      <w:pPr>
        <w:pStyle w:val="ListBullet"/>
      </w:pPr>
      <w:r>
        <w:t>Code review discipline is strong and broadly adopted.</w:t>
      </w:r>
    </w:p>
    <w:p>
      <w:pPr>
        <w:pStyle w:val="Heading2"/>
      </w:pPr>
      <w:r>
        <w:t>Key Gaps</w:t>
      </w:r>
    </w:p>
    <w:p>
      <w:pPr>
        <w:pStyle w:val="ListBullet"/>
      </w:pPr>
      <w:r>
        <w:t>Threat modeling and design review are not consistently required outside critical systems.</w:t>
      </w:r>
    </w:p>
    <w:p>
      <w:pPr>
        <w:pStyle w:val="ListBullet"/>
      </w:pPr>
      <w:r>
        <w:t>Release evidence and exception tracking are not yet standardized across all product teams.</w:t>
      </w:r>
    </w:p>
    <w:p>
      <w:pPr>
        <w:pStyle w:val="ListBullet"/>
      </w:pPr>
      <w:r>
        <w:t>Business logic security testing remains highly dependent on individual team maturity.</w:t>
      </w:r>
    </w:p>
    <w:p>
      <w:pPr>
        <w:pStyle w:val="Heading2"/>
      </w:pPr>
      <w:r>
        <w:t>Top Priorities for the Next Two Quarters</w:t>
      </w:r>
    </w:p>
    <w:p>
      <w:pPr>
        <w:pStyle w:val="ListNumber"/>
      </w:pPr>
      <w:r>
        <w:t>Expand mandatory threat modeling and security requirements traceability.</w:t>
      </w:r>
    </w:p>
    <w:p>
      <w:pPr>
        <w:pStyle w:val="ListNumber"/>
      </w:pPr>
      <w:r>
        <w:t>Standardize release-security sign-off and evidence retention.</w:t>
      </w:r>
    </w:p>
    <w:p>
      <w:pPr>
        <w:pStyle w:val="ListNumber"/>
      </w:pPr>
      <w:r>
        <w:t>Introduce runtime investigation playbooks and measurable remediation SLAs.</w:t>
      </w:r>
    </w:p>
    <w:p>
      <w:pPr>
        <w:pStyle w:val="Heading1"/>
      </w:pPr>
      <w:r>
        <w:t>2. Practice Scores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2493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Business Function</w:t>
            </w:r>
          </w:p>
        </w:tc>
        <w:tc>
          <w:tcPr>
            <w:tcW w:type="dxa" w:w="2493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2493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Example Score (0-3)</w:t>
            </w:r>
          </w:p>
        </w:tc>
        <w:tc>
          <w:tcPr>
            <w:tcW w:type="dxa" w:w="2493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Illustrative Observation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Governance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Strategy &amp; Metrics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2.4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Central KPIs exist but targets are inconsistent across business units.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Governance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Policy &amp; Compliance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2.1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Strong baseline policies, limited automated evidence collection.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Governance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Education &amp; Guidance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1.8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Secure coding guidance exists; role-based coaching is uneven.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Design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Threat Assessment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2.0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Threat modeling is required for Tier-1 services only.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Design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Security Requirements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2.3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Requirements are captured, but traceability to backlog is partial.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Design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Secure Architecture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2.2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Architecture reviews occur for material changes; API review coverage can improve.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Implementation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Secure Build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2.5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Branch protection and CI policies are mature; attestations not universal.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Implementation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Defect Management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2.1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Findings flow is operational, aging and exceptions need tighter governance.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Implementation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Secure Deployment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2.0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Pre-prod controls are present; release approval evidence is fragmented.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Verification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Design Review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1.9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Manual design review coverage is below target for critical products.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Verification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Code Review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2.4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Peer review is mature; security-specific review heuristics vary by team.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Verification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Security Testing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2.3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SAST/SCA/DAST are integrated; business logic testing is inconsistent.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Operations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Incident Management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2.2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PSIRT path exists, but product-specific playbooks are incomplete.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Operations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Environment Management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2.4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Cloud posture and Kubernetes baseline controls are in place.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Operations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Operational Management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2.1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Runtime telemetry exists; ownership of response evidence needs clarity.</w:t>
            </w:r>
          </w:p>
        </w:tc>
      </w:tr>
    </w:tbl>
    <w:p/>
    <w:p>
      <w:pPr>
        <w:pStyle w:val="Heading1"/>
      </w:pPr>
      <w:r>
        <w:t>3. Sample Findings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</w:trPr>
        <w:tc>
          <w:tcPr>
            <w:tcW w:type="dxa" w:w="199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99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Area</w:t>
            </w:r>
          </w:p>
        </w:tc>
        <w:tc>
          <w:tcPr>
            <w:tcW w:type="dxa" w:w="199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99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Finding</w:t>
            </w:r>
          </w:p>
        </w:tc>
        <w:tc>
          <w:tcPr>
            <w:tcW w:type="dxa" w:w="199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Recommended Action</w:t>
            </w:r>
          </w:p>
        </w:tc>
      </w:tr>
      <w:tr>
        <w:tc>
          <w:tcPr>
            <w:tcW w:type="dxa" w:w="1994"/>
            <w:vAlign w:val="center"/>
          </w:tcPr>
          <w:p>
            <w:r>
              <w:rPr>
                <w:sz w:val="19"/>
              </w:rPr>
              <w:t>SAMM-01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Design / Threat Assessment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Medium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Threat modeling is not consistently required for internet-facing services below Tier-1 classification.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Establish a trigger matrix based on data sensitivity, exposure, and privilege changes; require sign-off before production deployment.</w:t>
            </w:r>
          </w:p>
        </w:tc>
      </w:tr>
      <w:tr>
        <w:tc>
          <w:tcPr>
            <w:tcW w:type="dxa" w:w="1994"/>
            <w:vAlign w:val="center"/>
          </w:tcPr>
          <w:p>
            <w:r>
              <w:rPr>
                <w:sz w:val="19"/>
              </w:rPr>
              <w:t>SAMM-02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Implementation / Secure Deployment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High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Release approval evidence is stored inconsistently across teams and is difficult to reconstruct for audit or incident review.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Adopt a standard release evidence pack with sign-off, test evidence, artifact provenance, exception approvals, and retention rules.</w:t>
            </w:r>
          </w:p>
        </w:tc>
      </w:tr>
      <w:tr>
        <w:tc>
          <w:tcPr>
            <w:tcW w:type="dxa" w:w="1994"/>
            <w:vAlign w:val="center"/>
          </w:tcPr>
          <w:p>
            <w:r>
              <w:rPr>
                <w:sz w:val="19"/>
              </w:rPr>
              <w:t>SAMM-03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Verification / Security Testing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Medium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Business logic and abuse-case testing are not consistently represented in pre-release verification.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Create mandatory abuse-case test prompts for high-risk user journeys and require evidence for new payment, auth, and admin features.</w:t>
            </w:r>
          </w:p>
        </w:tc>
      </w:tr>
    </w:tbl>
    <w:p>
      <w:pPr>
        <w:pStyle w:val="Heading1"/>
      </w:pPr>
      <w:r>
        <w:t>4. Roadmap Snapshot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rPr>
          <w:tblHeader w:val="true"/>
        </w:trPr>
        <w:tc>
          <w:tcPr>
            <w:tcW w:type="dxa" w:w="332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Quarter</w:t>
            </w:r>
          </w:p>
        </w:tc>
        <w:tc>
          <w:tcPr>
            <w:tcW w:type="dxa" w:w="332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Initiative</w:t>
            </w:r>
          </w:p>
        </w:tc>
        <w:tc>
          <w:tcPr>
            <w:tcW w:type="dxa" w:w="332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Outcome</w:t>
            </w:r>
          </w:p>
        </w:tc>
      </w:tr>
      <w:tr>
        <w:tc>
          <w:tcPr>
            <w:tcW w:type="dxa" w:w="3324"/>
            <w:vAlign w:val="center"/>
          </w:tcPr>
          <w:p>
            <w:r>
              <w:rPr>
                <w:sz w:val="19"/>
              </w:rPr>
              <w:t>Q1</w:t>
            </w:r>
          </w:p>
        </w:tc>
        <w:tc>
          <w:tcPr>
            <w:tcW w:type="dxa" w:w="3324"/>
            <w:vAlign w:val="center"/>
          </w:tcPr>
          <w:p>
            <w:r>
              <w:rPr>
                <w:sz w:val="19"/>
              </w:rPr>
              <w:t>Threat modeling expansion</w:t>
            </w:r>
          </w:p>
        </w:tc>
        <w:tc>
          <w:tcPr>
            <w:tcW w:type="dxa" w:w="3324"/>
            <w:vAlign w:val="center"/>
          </w:tcPr>
          <w:p>
            <w:r>
              <w:rPr>
                <w:sz w:val="19"/>
              </w:rPr>
              <w:t>Add trigger matrix, templates, and review ownership for all internet-facing services.</w:t>
            </w:r>
          </w:p>
        </w:tc>
      </w:tr>
      <w:tr>
        <w:tc>
          <w:tcPr>
            <w:tcW w:type="dxa" w:w="3324"/>
            <w:vAlign w:val="center"/>
          </w:tcPr>
          <w:p>
            <w:r>
              <w:rPr>
                <w:sz w:val="19"/>
              </w:rPr>
              <w:t>Q1</w:t>
            </w:r>
          </w:p>
        </w:tc>
        <w:tc>
          <w:tcPr>
            <w:tcW w:type="dxa" w:w="3324"/>
            <w:vAlign w:val="center"/>
          </w:tcPr>
          <w:p>
            <w:r>
              <w:rPr>
                <w:sz w:val="19"/>
              </w:rPr>
              <w:t>Release evidence standardization</w:t>
            </w:r>
          </w:p>
        </w:tc>
        <w:tc>
          <w:tcPr>
            <w:tcW w:type="dxa" w:w="3324"/>
            <w:vAlign w:val="center"/>
          </w:tcPr>
          <w:p>
            <w:r>
              <w:rPr>
                <w:sz w:val="19"/>
              </w:rPr>
              <w:t>Introduce a single evidence pack and retention location for every production release.</w:t>
            </w:r>
          </w:p>
        </w:tc>
      </w:tr>
      <w:tr>
        <w:tc>
          <w:tcPr>
            <w:tcW w:type="dxa" w:w="3324"/>
            <w:vAlign w:val="center"/>
          </w:tcPr>
          <w:p>
            <w:r>
              <w:rPr>
                <w:sz w:val="19"/>
              </w:rPr>
              <w:t>Q2</w:t>
            </w:r>
          </w:p>
        </w:tc>
        <w:tc>
          <w:tcPr>
            <w:tcW w:type="dxa" w:w="3324"/>
            <w:vAlign w:val="center"/>
          </w:tcPr>
          <w:p>
            <w:r>
              <w:rPr>
                <w:sz w:val="19"/>
              </w:rPr>
              <w:t>Business logic verification</w:t>
            </w:r>
          </w:p>
        </w:tc>
        <w:tc>
          <w:tcPr>
            <w:tcW w:type="dxa" w:w="3324"/>
            <w:vAlign w:val="center"/>
          </w:tcPr>
          <w:p>
            <w:r>
              <w:rPr>
                <w:sz w:val="19"/>
              </w:rPr>
              <w:t>Pilot scenario-based verification prompts in two product teams and measure defect yield.</w:t>
            </w:r>
          </w:p>
        </w:tc>
      </w:tr>
      <w:tr>
        <w:tc>
          <w:tcPr>
            <w:tcW w:type="dxa" w:w="3324"/>
            <w:vAlign w:val="center"/>
          </w:tcPr>
          <w:p>
            <w:r>
              <w:rPr>
                <w:sz w:val="19"/>
              </w:rPr>
              <w:t>Q2</w:t>
            </w:r>
          </w:p>
        </w:tc>
        <w:tc>
          <w:tcPr>
            <w:tcW w:type="dxa" w:w="3324"/>
            <w:vAlign w:val="center"/>
          </w:tcPr>
          <w:p>
            <w:r>
              <w:rPr>
                <w:sz w:val="19"/>
              </w:rPr>
              <w:t>Metrics and governance</w:t>
            </w:r>
          </w:p>
        </w:tc>
        <w:tc>
          <w:tcPr>
            <w:tcW w:type="dxa" w:w="3324"/>
            <w:vAlign w:val="center"/>
          </w:tcPr>
          <w:p>
            <w:r>
              <w:rPr>
                <w:sz w:val="19"/>
              </w:rPr>
              <w:t>Track design review coverage, overdue critical findings, and exception aging.</w:t>
            </w:r>
          </w:p>
        </w:tc>
      </w:tr>
    </w:tbl>
    <w:p>
      <w:pPr>
        <w:pStyle w:val="Heading1"/>
      </w:pPr>
      <w:r>
        <w:t>5. References</w:t>
      </w:r>
    </w:p>
    <w:p>
      <w:pPr>
        <w:pStyle w:val="ListBullet"/>
      </w:pPr>
      <w:r>
        <w:t>https://owasp.org/www-project-samm/</w:t>
      </w:r>
    </w:p>
    <w:p>
      <w:pPr>
        <w:pStyle w:val="ListBullet"/>
      </w:pPr>
      <w:r>
        <w:t>https://owaspsamm.org/about/</w:t>
      </w:r>
    </w:p>
    <w:p>
      <w:pPr>
        <w:pStyle w:val="ListBullet"/>
      </w:pPr>
      <w:r>
        <w:t>https://devguide.owasp.org/en/08-culture-process/03-samm/</w:t>
      </w:r>
    </w:p>
    <w:sectPr w:rsidR="00FC693F" w:rsidRPr="0006063C" w:rsidSect="00034616">
      <w:footerReference w:type="default" r:id="rId9"/>
      <w:pgSz w:w="12240" w:h="15840"/>
      <w:pgMar w:top="1247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t xml:space="preserve">Sample report | Page </w:t>
    </w:r>
    <w:r>
      <w:fldChar w:fldCharType="begin"/>
      <w:instrText xml:space="preserve"> PAGE </w:instrText>
      <w:fldChar w:fldCharType="separate"/>
      <w:t>1</w: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4495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